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3912235</wp:posOffset>
            </wp:positionH>
            <wp:positionV relativeFrom="paragraph">
              <wp:posOffset>-605790</wp:posOffset>
            </wp:positionV>
            <wp:extent cx="57150" cy="61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643890</wp:posOffset>
            </wp:positionV>
            <wp:extent cx="7048500" cy="4782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Cao Sean Wuxiong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NOVABRIDGE BIOSCIENCES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2440 RESEARCH BOULEVARD,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NovaBridge Biosciences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NBP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720" w:firstLine="7"/>
        <w:spacing w:after="0" w:line="285" w:lineRule="auto"/>
        <w:tabs>
          <w:tab w:leader="none" w:pos="13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Bus. Development Officer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ROCKVILLE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181,280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Ordinary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b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181,280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181,280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181,290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06/22/2036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181,290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181,290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("RSU") represents a contingent right to receive one American Depositary Shares ("ADS").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Number of underlying securities and exercise price expressed in terms of ADSs.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shall vest over four years, with one-fourth vesting on September 3, 2026 and the balance vesting ratably over the subsequent 12 quarters on the third day of each third month.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Ordinary Shares may be represented by ADSs. Each 10 ADSs represent 23 Ordinary Shares of the Issuer.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vests, if at all, in eight equal quarterly installments following the date on which the 30-trading-day weighted average price of the Issuer's ADS (based on trading days only) is at or above US$8.00.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Xi-Yong (Sean) Fu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09966" TargetMode="External"/><Relationship Id="rId14" Type="http://schemas.openxmlformats.org/officeDocument/2006/relationships/hyperlink" Target="http://www.sec.gov/cgi-bin/browse-edgar?action=getcompany&amp;CIK=0001778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2026-06-24T18:23:23Z</dcterms:created>
  <dcterms:modified xsi:type="dcterms:W3CDTF">2026-06-24T18:23:23Z</dcterms:modified>
</cp:coreProperties>
</file>