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82026_090957.xml.htm"/>
      <w:bookmarkStart w:id="1" w:name="ksform409082026_0909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Cao Sean Wuxiong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Bus.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1059"/>
        <w:gridCol w:w="455"/>
        <w:gridCol w:w="617"/>
        <w:gridCol w:w="1164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235,136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270,209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104,236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374,445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102,233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45,320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135,960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 ("ADS").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Reported securities are represented by 102,233 ADSs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Reported securities are represented by 45,320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September 3, 2025, the Reporting Person was granted 408,933 RSUs. The RSUs vested or shall vest over four years, with one-fourth vesting on the first anniversary of the grant date and the balance vesting ratably over the subsequent 12 quarters on the third day of each third month.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June 22, 2026, the Reporting Person was granted 181,280 RSUs. The RSUs vested or shall vest over four years, with one-fourth vesting on September 3, 2026 and the balance vesting ratably over the subsequent 12 quarters on the third day of each third month.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966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755</Words>
  <Characters>4069</Characters>
  <CharactersWithSpaces>4719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