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vs_102.htm"/>
      <w:bookmarkStart w:id="1" w:name="ks6k__vs_102"/>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October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License Agreement with Hiteck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October 13, 2026, Visara, Inc. (“Visara”), a majority-owned ophthalmology subsidiary of NovaBridge Biosciences (“the “Company”), entered into an exclusive license agreement (the “License Agreement”) with Wuhan Hiteck Biological Pharma Co., Ltd. (“Hiteck”) for the development and commercialization of VIS-102 (HT006.2.2) worldwide, excluding Greater China. VIS-102 is a modified recombinant human nerve growth factor therapy designed to restore corneal health in patients with neurotrophic keratitis, a rare, degenerative disease in which damage to the nerves supplying the cornea impairs its ability to heal.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the terms of the License Agreement, Visara will pay Hiteck an upfront and near-term milestone payment of $7.0 million. In addition, Visara has agreed to make additional aggregate payments of up to $104.0 million based upon the achievement of certain clinical development and commercialization milestones. With respect to any licensed product Visara commercializes under the License Agreement, Visara will pay Hiteck tiered royalties, on a country-by-country basis, at a single digit percentage of annual net sales of each such licensed product, subject to specified reductions, until the latest of (i) the expiration of the last valid claim covering the licensed product in such country (provided that if a biosimilar product to a licensed product is sold in accordance with applicable law in such country, then this provision will be deemed to no longer apply to extend the royalty term), (ii) the tenth anniversary of the first commercial sale of such licensed product in such country and (iii) the expiration of applicable regulatory exclusivity applicable to such licensed product in such country or jurisdiction. The License Agreement also establishes a joint steering committee comprised of three representatives from each of Visara and Hiteck, which will discuss and coordinate the development and commercialization activities of products.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is only a brief description of the material terms of the License Agreement and does not purport to be a complete statement of the rights and obligations of the parties under the License Agreement, and is qualified in its entirety by the full text of the License Agreement, a copy of which will be filed with the Company's Form 20-F for the year ended December 31, 2026.</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Press Release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13, 2026, the Company issued a press release announcing the matters described in this Report on Form 6-K. A copy of the press release is filed as Exhibit 99.1 to this Report on Form 6-K.</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Incorporation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and exhibits set forth in this Report on Form 6-K shall be deemed to be incorporated by reference into the Company’s Registration Statements on Form F-3 (File No. 333-286954) and Form S-8 (File No. 333-239871, File No. 333-256603, File No. 333-265684, File No. 333-279842, File No. 333-290195 and File No. 333-298369) (including any prospectuses forming a part of such registration statements) and to be a part thereof from the date on which this Form 6-K is furnished, to the extent not superseded by documents or reports subsequently filed or furnished.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04"/>
        <w:gridCol w:w="9201"/>
      </w:tblGrid>
      <w:tr>
        <w:trPr/>
        <w:tc>
          <w:tcPr>
            <w:tcW w:w="1004" w:type="dxa"/>
            <w:tcBorders/>
            <w:vAlign w:val="center"/>
          </w:tcPr>
          <w:p>
            <w:pPr>
              <w:pStyle w:val="TableContents"/>
              <w:bidi w:val="0"/>
              <w:spacing w:before="0" w:after="283"/>
              <w:jc w:val="left"/>
              <w:rPr>
                <w:sz w:val="4"/>
                <w:szCs w:val="4"/>
              </w:rPr>
            </w:pPr>
            <w:r>
              <w:rPr>
                <w:sz w:val="4"/>
                <w:szCs w:val="4"/>
              </w:rPr>
            </w:r>
          </w:p>
        </w:tc>
        <w:tc>
          <w:tcPr>
            <w:tcW w:w="9201" w:type="dxa"/>
            <w:tcBorders/>
            <w:vAlign w:val="center"/>
          </w:tcPr>
          <w:p>
            <w:pPr>
              <w:pStyle w:val="TableContents"/>
              <w:bidi w:val="0"/>
              <w:spacing w:before="0" w:after="283"/>
              <w:jc w:val="left"/>
              <w:rPr>
                <w:sz w:val="4"/>
                <w:szCs w:val="4"/>
              </w:rPr>
            </w:pPr>
            <w:r>
              <w:rPr>
                <w:sz w:val="4"/>
                <w:szCs w:val="4"/>
              </w:rPr>
            </w:r>
          </w:p>
        </w:tc>
      </w:tr>
      <w:tr>
        <w:trPr/>
        <w:tc>
          <w:tcPr>
            <w:tcW w:w="1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9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04" w:type="dxa"/>
            <w:tcBorders/>
            <w:tcMar>
              <w:top w:w="0" w:type="dxa"/>
              <w:left w:w="0" w:type="dxa"/>
              <w:bottom w:w="0" w:type="dxa"/>
              <w:right w:w="0" w:type="dxa"/>
            </w:tcMar>
            <w:vAlign w:val="center"/>
          </w:tcPr>
          <w:p>
            <w:pPr>
              <w:pStyle w:val="TableContents"/>
              <w:bidi w:val="0"/>
              <w:spacing w:before="0" w:after="283"/>
              <w:jc w:val="left"/>
              <w:rPr/>
            </w:pPr>
            <w:r>
              <w:rPr/>
              <w:t> </w:t>
            </w:r>
          </w:p>
        </w:tc>
        <w:tc>
          <w:tcPr>
            <w:tcW w:w="92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4"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920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Press Release – Visara Expands Ophthalmology Pipeline with Exclusive License for Investigational NGF Therapy for Neurotrophic Keratitis.</w:t>
              </w:r>
            </w:hyperlink>
          </w:p>
        </w:tc>
      </w:tr>
    </w:tbl>
    <w:p>
      <w:pPr>
        <w:pStyle w:val="TextBody"/>
        <w:bidi w:val="0"/>
        <w:jc w:val="left"/>
        <w:rPr/>
      </w:pPr>
      <w:r>
        <w:rPr/>
        <w:t> </w:t>
      </w:r>
    </w:p>
    <w:p>
      <w:pPr>
        <w:pStyle w:val="TextBody"/>
        <w:bidi w:val="0"/>
        <w:spacing w:before="240" w:after="24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October 13, 2026</w:t>
      </w:r>
    </w:p>
    <w:p>
      <w:pPr>
        <w:pStyle w:val="TextBody"/>
        <w:bidi w:val="0"/>
        <w:spacing w:before="240" w:after="240"/>
        <w:jc w:val="both"/>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8"/>
        </w:rPr>
      </w:pPr>
      <w:bookmarkStart w:id="2" w:name="nbp-ex99_1.htm"/>
      <w:bookmarkStart w:id="3" w:name="ksnbpex99_1"/>
      <w:bookmarkEnd w:id="2"/>
      <w:bookmarkEnd w:id="3"/>
      <w:r>
        <w:rPr>
          <w:rFonts w:ascii="sans-serif" w:hAnsi="sans-serif"/>
          <w:b/>
          <w:color w:val="000000"/>
          <w:sz w:val="28"/>
        </w:rPr>
        <w:t>Visara Expands Ophthalmology Pipeline with Exclusive License for Investigational Nerve Growth Factor Therapy for Neurotrophic Keratitis</w:t>
      </w:r>
      <w:r>
        <w:br w:type="page"/>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Visara secures exclusive worldwide rights, excluding Greater China, from Wuhan Hiteck Biological Pharma to develop and commercialize HT006.2.2</w:t>
      </w:r>
    </w:p>
    <w:p>
      <w:pPr>
        <w:pStyle w:val="TextBody"/>
        <w:bidi w:val="0"/>
        <w:jc w:val="center"/>
        <w:rPr/>
      </w:pPr>
      <w:r>
        <w:rPr/>
        <w:t> </w:t>
      </w:r>
    </w:p>
    <w:p>
      <w:pPr>
        <w:pStyle w:val="TextBody"/>
        <w:bidi w:val="0"/>
        <w:jc w:val="left"/>
        <w:rPr>
          <w:rFonts w:ascii="sans-serif" w:hAnsi="sans-serif"/>
          <w:i/>
          <w:color w:val="000000"/>
          <w:sz w:val="24"/>
        </w:rPr>
      </w:pPr>
      <w:r>
        <w:rPr>
          <w:rFonts w:ascii="sans-serif" w:hAnsi="sans-serif"/>
          <w:i/>
          <w:color w:val="000000"/>
          <w:sz w:val="24"/>
        </w:rPr>
        <w:t>Visara plans to develop HT006.2.2 as VIS-102, its second clinical-stage program, expanding the Company's ophthalmology portfolio beyond retinal vascular disease into ocular surface disease</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HT006.2.2 is designed to offer a more convenient treatment option for patients with neurotrophic keratitis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 xml:space="preserve">ROCKVILLE, Md., October 13, 2026 (GLOBE NEWSWIRE) -- Visara, Inc. (“Visara” or the “Company”), a majority-owned ophthalmology subsidiary of NovaBridge Biosciences (“NovaBridge”) (NASDAQ: NBP), today announced that it has entered into an exclusive license agreement (the “License Agreement”) with Wuhan Hiteck Biological Pharma Co., Ltd. (“Hiteck”) for the development and commercialization of VIS-102 (HT006.2.2), an investigational next-generation modified recombinant human nerve growth factor (rhNGF) therapy designed to restore corneal health in patients with neurotrophic keratitis (NK).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 xml:space="preserve">In NK, damage to the corneal nerves impairs the eye's ability to heal. This can lead to persistent epithelial defects, corneal ulceration and permanent vision loss. VIS-102 is designed to restore corneal health with a more convenient treatment option for patients. In addition to formulation optimization, it incorporates targeted modifications to the NGF amino acid sequence intended to improve resistance to enzymatic degradation and maintain stability under refrigeration. These changes allow VIS-102 to potentially be supplied in ready-to-use, single-dose units. This design may reduce the storage, shipping, handling and administration burden associated with current treatments for NK.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Patients with neurotrophic keratitis face a serious, sight-threatening disease, and the practical demands of treatment can place a significant burden on patients and their caregivers,” said Jeffrey Nau, Ph.D., M.M.S., President and Chief Executive Officer of Visara. “VIS-102 was designed to address that directly. We believe its molecular architecture and refrigerated, ready-to-use format could simplify care for patients and providers. VIS-102 is a compelling addition to our pipeline as we build a company addressing unmet needs across the front and back of the eye.”</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The expansion of Visara’s pipeline illustrates how we are applying the NovaBridge model to build focused franchises around differentiated innovation,” said Srishti Gupta, M.D., M.P.P., Chief Executive Officer of NovaBridge. “With VIS-102, Visara expands beyond retinal disease into a second area of significant unmet need. We believe this is an important step in building Visara into a broader ophthalmology company and demonstrates the repeatability of the NovaBridge approach to creating long-term value.”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program has demonstrated encouraging early clinical activity to date, further supporting Visara's decision to expand into NK through the in-licensing of VIS-102. Phase 1b data in a population of Chinese subjects with severe NK showed that in the highest dose cohort of VIS-102, after a single 8-week course, subjects achieved 50% complete corneal healing, whereas 14% of those in the vehicle control group had complete corneal healing at Week 4. In the study, those on vehicle then crossed over to active treatment from Week 5 to Week 8 and achieved 43% complete corneal healing after a 4-week course of VIS-102. Treatment related ocular adverse events were all mild and consistent with trials of rhNGF. No subjects withdrew or discontinued the study due to a related adverse event. The study will continue an expansion phase to evaluate the highest dose at both 6 times daily and 3 times daily 8-week regimens in Chinese patients with NK.</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 xml:space="preserve">The License Agreement expands Visara’s pipeline beyond its tetravalent VEGF-A × ANG-2 peptibody (VIS-101) being developed for neovascular retinal diseases and represents an important step in its evolution into a diversified ophthalmology company. VIS-102 complements Visara’s existing focus on retinal vascular diseases by extending its portfolio into neuroprotection and the treatment of rare ocular surface disease.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 xml:space="preserve">Under the terms of the License Agreement, Visara will receive exclusive rights to develop and commercialize VIS-102 worldwide excluding Greater China. Hiteck will receive an up-front payment as well as potential development, regulatory and commercial milestone payments and tiered royalties on net sales.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VIS-102</w:t>
      </w:r>
    </w:p>
    <w:p>
      <w:pPr>
        <w:pStyle w:val="TextBody"/>
        <w:bidi w:val="0"/>
        <w:jc w:val="left"/>
        <w:rPr>
          <w:rFonts w:ascii="sans-serif" w:hAnsi="sans-serif"/>
          <w:color w:val="000000"/>
          <w:sz w:val="24"/>
        </w:rPr>
      </w:pPr>
      <w:r>
        <w:rPr>
          <w:rFonts w:ascii="sans-serif" w:hAnsi="sans-serif"/>
          <w:color w:val="000000"/>
          <w:sz w:val="24"/>
        </w:rPr>
        <w:t xml:space="preserve">VIS-102 is an investigational, next-generation modified recombinant human nerve growth factor therapy being developed for the treatment of neurotrophic keratitis. VIS-102 incorporates modifications to the human nerve growth factor amino acid sequence intended to increase resistance to enzymatic degradation and support stability at refrigerated temperatures. It is designed to be supplied in ready-to-use, single-dose units, potentially simplifying storage, distribution and patient administration.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Neurotrophic Keratitis</w:t>
      </w:r>
    </w:p>
    <w:p>
      <w:pPr>
        <w:pStyle w:val="TextBody"/>
        <w:bidi w:val="0"/>
        <w:jc w:val="left"/>
        <w:rPr>
          <w:rFonts w:ascii="sans-serif" w:hAnsi="sans-serif"/>
          <w:color w:val="000000"/>
          <w:sz w:val="24"/>
        </w:rPr>
      </w:pPr>
      <w:r>
        <w:rPr>
          <w:rFonts w:ascii="sans-serif" w:hAnsi="sans-serif"/>
          <w:color w:val="000000"/>
          <w:sz w:val="24"/>
        </w:rPr>
        <w:t xml:space="preserve">Neurotrophic keratitis is a rare, degenerative disease caused by impaired sensory innervation of the cornea. The resulting loss of corneal sensation and neurotrophic support can impair healing and lead to persistent epithelial defects, corneal ulceration, stromal melting, perforation and permanent vision loss.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Visara</w:t>
      </w:r>
    </w:p>
    <w:p>
      <w:pPr>
        <w:pStyle w:val="TextBody"/>
        <w:bidi w:val="0"/>
        <w:jc w:val="left"/>
        <w:rPr>
          <w:rFonts w:ascii="sans-serif" w:hAnsi="sans-serif"/>
          <w:color w:val="000000"/>
          <w:sz w:val="24"/>
        </w:rPr>
      </w:pPr>
      <w:r>
        <w:rPr>
          <w:rFonts w:ascii="sans-serif" w:hAnsi="sans-serif"/>
          <w:color w:val="000000"/>
          <w:sz w:val="24"/>
        </w:rPr>
        <w:t xml:space="preserve">Visara is a clinical stage biotechnology company dedicated to developing next-generation biologic therapies for ophthalmic diseases affecting both the front and back of the eye. From the cornea to the retina, Visara pursues the full spectrum of ocular disease as vision is irreplaceable, and the unmet need is profound. Visara is a majority-owned ophthalmology subsidiary of NovaBridge Biosciences (NASDAQ: NBP). Its pipeline includes VIS-101, a tetravalent VEGF-A × ANG-2 peptibody being developed for neovascular retinal diseases, and VIS-102, a next-generation modified recombinant human nerve growth factor therapy being developed for neurotrophic keratitis.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NovaBridge Biosciences</w:t>
      </w:r>
    </w:p>
    <w:p>
      <w:pPr>
        <w:pStyle w:val="TextBody"/>
        <w:bidi w:val="0"/>
        <w:jc w:val="left"/>
        <w:rPr>
          <w:rFonts w:ascii="sans-serif" w:hAnsi="sans-serif"/>
          <w:color w:val="000000"/>
          <w:sz w:val="24"/>
        </w:rPr>
      </w:pPr>
      <w:r>
        <w:rPr>
          <w:rFonts w:ascii="sans-serif" w:hAnsi="sans-serif"/>
          <w:color w:val="000000"/>
          <w:sz w:val="24"/>
        </w:rPr>
        <w:t>NovaBridge Biosciences ("NovaBridge") (NASDAQ: NBP) is a global biotechnology company advancing a portfolio of therapeutic programs in oncology and ophthalmology. The Company identifies differentiated therapeutic opportunities, generates value-defining clinical evidence, and applies the development, financing and partnering strategy best suited to each program.</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NovaBridge's portfolio is led by givastomig, a Claudin 18.2 × 4-1BB bispecific antibody being developed for the potential treatment of gastrointestinal malignancies, and Visara, its majority-owned ophthalmology subsidiary. Through Visara, NovaBridge is building a diversified ophthalmology franchise designed to address unmet needs across diseases of the front and back of the eye.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NovaBridge's objective is to build a sustainable biotechnology company by repeatedly identifying differentiated innovation, advancing it efficiently, and bringing novel therapies to patients through the path best suited to each opportunity.</w:t>
      </w:r>
    </w:p>
    <w:p>
      <w:pPr>
        <w:pStyle w:val="TextBody"/>
        <w:bidi w:val="0"/>
        <w:jc w:val="left"/>
        <w:rPr/>
      </w:pPr>
      <w:r>
        <w:rPr/>
        <w:t> </w:t>
      </w:r>
    </w:p>
    <w:p>
      <w:pPr>
        <w:pStyle w:val="TextBody"/>
        <w:bidi w:val="0"/>
        <w:jc w:val="left"/>
        <w:rPr>
          <w:rFonts w:ascii="sans-serif" w:hAnsi="sans-serif"/>
          <w:sz w:val="24"/>
        </w:rPr>
      </w:pPr>
      <w:r>
        <w:rPr>
          <w:rFonts w:ascii="sans-serif" w:hAnsi="sans-serif"/>
          <w:color w:val="000000"/>
          <w:sz w:val="24"/>
        </w:rPr>
        <w:t xml:space="preserve">For more information, please visit </w:t>
      </w:r>
      <w:r>
        <w:rPr>
          <w:rFonts w:ascii="sans-serif" w:hAnsi="sans-serif"/>
          <w:sz w:val="24"/>
        </w:rPr>
        <w:t>www.novabridge.com</w:t>
      </w:r>
      <w:r>
        <w:rPr>
          <w:rFonts w:ascii="sans-serif" w:hAnsi="sans-serif"/>
          <w:color w:val="000000"/>
          <w:sz w:val="24"/>
        </w:rPr>
        <w:t xml:space="preserve"> and follow us on </w:t>
      </w:r>
      <w:r>
        <w:rPr>
          <w:rFonts w:ascii="sans-serif" w:hAnsi="sans-serif"/>
          <w:sz w:val="24"/>
        </w:rPr>
        <w:t>LinkedIn</w:t>
      </w: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Forward Looking Statements</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This announcement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“plans,” “potential,” “estimates,” “confident,” and similar terms or the negative thereof. NovaBridge and Visara may also make written or oral forward-looking statements in NovaBridge’s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NovaBridge’s beliefs and expectations, are forward-looking statements. Forward-looking statements in this press release include, without limitation, statements regarding: the anticipated achievement of development, regulatory and commercial milestones under the License Agreement; expected milestone and royalty payments under the License Agreement; the potential benefits of Visara’s product candidates, including VIS-102; and the strategy, clinical development, plans, timing, results, safety and efficacy of Visara’s drug candidates, including VIS-102. Forward-looking statements involve inherent risks and uncertainties that may cause actual results to differ materially from those contained in these forward-looking statements, including but not limited to the following: NovaBridge’s or Visara’s ability to demonstrate the safety and efficacy of their drug candidates; the clinical results for their drug candidates, which may or may not support further development or New Drug Application/Biologics License Application approval or eligibility for accelerated approval pathway or receipt of accelerated approval; the content and timing of decisions made by the relevant regulatory authorities, including the FDA, regarding regulatory approval of NovaBridge’s or Visara’s drug candidates; NovaBridge’s or Visara’s ability to achieve commercial success for their drug candidates, if approved; NovaBridge’s or Visara’s ability to obtain and maintain protection of intellectual property for their technology and drugs; NovaBridge’s or Visara’s reliance on third parties to conduct drug development, manufacturing and other services; NovaBridge’s or Visara’s limited operating history and their ability to obtain additional funding for operations and to complete the development and commercialization of their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“Risk Factors” section in NovaBridge’s annual report on Form 20-F filed with the SEC on April 7, 2026, and amended on June 16, 2026, as well as the discussions of potential risks, uncertainties, and other important factors in NovaBridge’s subsequent filings with the SEC. All forward-looking statements are based on information currently available to NovaBridge. NovaBridge undertakes no obligation to publicly update or revise any forward-looking statements, whether as a result of new information, future events, or otherwise, except as may be required by law.</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NovaBridge Investor &amp; Media Contacts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Investors:</w:t>
      </w:r>
    </w:p>
    <w:p>
      <w:pPr>
        <w:pStyle w:val="TextBody"/>
        <w:bidi w:val="0"/>
        <w:jc w:val="left"/>
        <w:rPr>
          <w:rFonts w:ascii="sans-serif" w:hAnsi="sans-serif"/>
          <w:color w:val="000000"/>
          <w:sz w:val="24"/>
        </w:rPr>
      </w:pPr>
      <w:r>
        <w:rPr>
          <w:rFonts w:ascii="sans-serif" w:hAnsi="sans-serif"/>
          <w:color w:val="000000"/>
          <w:sz w:val="24"/>
        </w:rPr>
        <w:t>Bill Begien, SVP, Investor Relations</w:t>
      </w:r>
    </w:p>
    <w:p>
      <w:pPr>
        <w:pStyle w:val="TextBody"/>
        <w:bidi w:val="0"/>
        <w:jc w:val="left"/>
        <w:rPr>
          <w:rFonts w:ascii="sans-serif" w:hAnsi="sans-serif"/>
          <w:color w:val="000000"/>
          <w:sz w:val="24"/>
        </w:rPr>
      </w:pPr>
      <w:r>
        <w:rPr>
          <w:rFonts w:ascii="sans-serif" w:hAnsi="sans-serif"/>
          <w:color w:val="000000"/>
          <w:sz w:val="24"/>
        </w:rPr>
        <w:t>+1-240-745-6330</w:t>
      </w:r>
    </w:p>
    <w:p>
      <w:pPr>
        <w:pStyle w:val="TextBody"/>
        <w:bidi w:val="0"/>
        <w:jc w:val="left"/>
        <w:rPr>
          <w:rFonts w:ascii="sans-serif" w:hAnsi="sans-serif"/>
          <w:color w:val="000000"/>
          <w:sz w:val="24"/>
        </w:rPr>
      </w:pPr>
      <w:r>
        <w:rPr>
          <w:rFonts w:ascii="sans-serif" w:hAnsi="sans-serif"/>
          <w:color w:val="000000"/>
          <w:sz w:val="24"/>
        </w:rPr>
        <w:t>bill.begien@novabridge.com</w:t>
      </w:r>
    </w:p>
    <w:p>
      <w:pPr>
        <w:pStyle w:val="TextBody"/>
        <w:bidi w:val="0"/>
        <w:jc w:val="left"/>
        <w:rPr>
          <w:rFonts w:ascii="sans-serif" w:hAnsi="sans-serif"/>
          <w:color w:val="000000"/>
          <w:sz w:val="24"/>
        </w:rPr>
      </w:pPr>
      <w:r>
        <w:rPr>
          <w:rFonts w:ascii="sans-serif" w:hAnsi="sans-serif"/>
          <w:color w:val="000000"/>
          <w:sz w:val="24"/>
        </w:rPr>
        <w:t>IR@novabridge.com</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Media Inquiries:</w:t>
      </w:r>
    </w:p>
    <w:p>
      <w:pPr>
        <w:pStyle w:val="TextBody"/>
        <w:bidi w:val="0"/>
        <w:jc w:val="left"/>
        <w:rPr>
          <w:rFonts w:ascii="sans-serif" w:hAnsi="sans-serif"/>
          <w:color w:val="000000"/>
          <w:sz w:val="24"/>
        </w:rPr>
      </w:pPr>
      <w:r>
        <w:rPr>
          <w:rFonts w:ascii="sans-serif" w:hAnsi="sans-serif"/>
          <w:color w:val="000000"/>
          <w:sz w:val="24"/>
        </w:rPr>
        <w:t>Eric Van Zanten, VP, Communications</w:t>
      </w:r>
    </w:p>
    <w:p>
      <w:pPr>
        <w:pStyle w:val="TextBody"/>
        <w:bidi w:val="0"/>
        <w:jc w:val="left"/>
        <w:rPr>
          <w:rFonts w:ascii="sans-serif" w:hAnsi="sans-serif"/>
          <w:color w:val="000000"/>
          <w:sz w:val="24"/>
        </w:rPr>
      </w:pPr>
      <w:r>
        <w:rPr>
          <w:rFonts w:ascii="sans-serif" w:hAnsi="sans-serif"/>
          <w:color w:val="000000"/>
          <w:sz w:val="24"/>
        </w:rPr>
        <w:t>+1-610-529-6219</w:t>
      </w:r>
    </w:p>
    <w:p>
      <w:pPr>
        <w:pStyle w:val="TextBody"/>
        <w:bidi w:val="0"/>
        <w:jc w:val="left"/>
        <w:rPr>
          <w:rFonts w:ascii="sans-serif" w:hAnsi="sans-serif"/>
          <w:color w:val="467886"/>
          <w:sz w:val="24"/>
          <w:u w:val="single"/>
        </w:rPr>
      </w:pPr>
      <w:r>
        <w:rPr>
          <w:rFonts w:ascii="sans-serif" w:hAnsi="sans-serif"/>
          <w:color w:val="467886"/>
          <w:sz w:val="24"/>
          <w:u w:val="single"/>
        </w:rPr>
        <w:t>eric.vanzanten@novabridge.com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2156</Words>
  <Characters>13113</Characters>
  <CharactersWithSpaces>15266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