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_2026_agm.htm"/>
      <w:bookmarkStart w:id="1" w:name="ks6k__2026_agm"/>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28"/>
        </w:rPr>
      </w:pPr>
      <w:r>
        <w:rPr>
          <w:rFonts w:ascii="Times New Roman" w:hAnsi="Times New Roman"/>
          <w:b/>
          <w:color w:val="000000"/>
          <w:sz w:val="28"/>
        </w:rPr>
        <w:t>FORM 6-K</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July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001-39173</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NovaBridge Biosciences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2440 Research Boulevard, Suite 400</w:t>
      </w:r>
    </w:p>
    <w:p>
      <w:pPr>
        <w:pStyle w:val="TextBody"/>
        <w:bidi w:val="0"/>
        <w:jc w:val="center"/>
        <w:rPr>
          <w:rFonts w:ascii="Times New Roman" w:hAnsi="Times New Roman"/>
          <w:color w:val="000000"/>
          <w:sz w:val="20"/>
        </w:rPr>
      </w:pPr>
      <w:r>
        <w:rPr>
          <w:rFonts w:ascii="Times New Roman" w:hAnsi="Times New Roman"/>
          <w:color w:val="000000"/>
          <w:sz w:val="20"/>
        </w:rPr>
        <w:t>Rockville, MD 20850</w:t>
      </w:r>
    </w:p>
    <w:p>
      <w:pPr>
        <w:pStyle w:val="TextBody"/>
        <w:bidi w:val="0"/>
        <w:jc w:val="center"/>
        <w:rPr>
          <w:rFonts w:ascii="Times New Roman" w:hAnsi="Times New Roman"/>
          <w:color w:val="000000"/>
          <w:sz w:val="20"/>
        </w:rPr>
      </w:pPr>
      <w:r>
        <w:rPr>
          <w:rFonts w:ascii="Times New Roman" w:hAnsi="Times New Roman"/>
          <w:color w:val="000000"/>
          <w:sz w:val="20"/>
        </w:rPr>
        <w:t>United States</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40"/>
        <w:jc w:val="center"/>
        <w:rPr>
          <w:rFonts w:ascii="Times New Roman" w:hAnsi="Times New Roman"/>
          <w:b/>
          <w:caps/>
          <w:color w:val="000000"/>
          <w:sz w:val="20"/>
        </w:rPr>
      </w:pPr>
      <w:r>
        <w:rPr>
          <w:rFonts w:ascii="Times New Roman" w:hAnsi="Times New Roman"/>
          <w:b/>
          <w:caps/>
          <w:color w:val="000000"/>
          <w:sz w:val="20"/>
        </w:rPr>
        <w:t>Explanatory Note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NovaBridge Biosciences (the “Company”), a Cayman Islands exempted company with limited liability, will hold its Annual General Meeting of Shareholders (the “AGM”) on September 8, 2026 at 10:00 a.m. (Shanghai time) at NovaBridge Biosciences Shanghai office, 38F, AIA Tower, No. 866 Dongchangzhi Road, Shanghai, China.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Materials in connection with the AGM are available on the Company’s website at </w:t>
      </w:r>
      <w:r>
        <w:rPr>
          <w:rFonts w:ascii="Times New Roman" w:hAnsi="Times New Roman"/>
          <w:color w:val="0000FF"/>
          <w:sz w:val="20"/>
          <w:u w:val="single"/>
        </w:rPr>
        <w:t>https://www.novabridge.com</w:t>
      </w:r>
      <w:r>
        <w:rPr>
          <w:rFonts w:ascii="Times New Roman" w:hAnsi="Times New Roman"/>
          <w:color w:val="000000"/>
          <w:sz w:val="20"/>
        </w:rPr>
        <w:t>. The information contained in, or that can be accessed through, the Company’s website is not a part of this filing.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documents regarding the AGM, each of which are attached as an exhibit hereto, excluding Exhibit 99.1, shall be deemed to be incorporated by reference into the Company’s Registration Statements on Form F-3 (File No. 333-286954) and Form S-8 (File No. 333-239871, File No. 333-256603, File No. 333-265684, File No. 333-279842 and File No. 333-290195) (including any prospectuses forming a part of such registration statements) and to be a part thereof from the date on which this Form 6-K is furnished, to the extent not superseded by documents or reports subsequently filed or furnished.</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7322" w:type="dxa"/>
        <w:jc w:val="left"/>
        <w:tblInd w:w="0" w:type="dxa"/>
        <w:tblLayout w:type="fixed"/>
        <w:tblCellMar>
          <w:top w:w="28" w:type="dxa"/>
          <w:left w:w="28" w:type="dxa"/>
          <w:bottom w:w="28" w:type="dxa"/>
          <w:right w:w="28" w:type="dxa"/>
        </w:tblCellMar>
      </w:tblPr>
      <w:tblGrid>
        <w:gridCol w:w="1081"/>
        <w:gridCol w:w="6241"/>
      </w:tblGrid>
      <w:tr>
        <w:trPr/>
        <w:tc>
          <w:tcPr>
            <w:tcW w:w="1081" w:type="dxa"/>
            <w:tcBorders/>
            <w:vAlign w:val="center"/>
          </w:tcPr>
          <w:p>
            <w:pPr>
              <w:pStyle w:val="TableContents"/>
              <w:bidi w:val="0"/>
              <w:spacing w:before="0" w:after="283"/>
              <w:jc w:val="left"/>
              <w:rPr>
                <w:sz w:val="4"/>
                <w:szCs w:val="4"/>
              </w:rPr>
            </w:pPr>
            <w:r>
              <w:rPr>
                <w:sz w:val="4"/>
                <w:szCs w:val="4"/>
              </w:rPr>
            </w:r>
          </w:p>
        </w:tc>
        <w:tc>
          <w:tcPr>
            <w:tcW w:w="624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Exhibit No.</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99.1</w:t>
              </w:r>
            </w:hyperlink>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nbp-ex99_1.htm">
              <w:r>
                <w:rPr>
                  <w:rStyle w:val="InternetLink"/>
                  <w:rFonts w:ascii="Times New Roman" w:hAnsi="Times New Roman"/>
                  <w:color w:val="0000FF"/>
                  <w:sz w:val="20"/>
                  <w:u w:val="single"/>
                </w:rPr>
                <w:t>Press Release</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2.htm">
              <w:r>
                <w:rPr>
                  <w:rStyle w:val="InternetLink"/>
                  <w:rFonts w:ascii="Times New Roman" w:hAnsi="Times New Roman"/>
                  <w:color w:val="0000FF"/>
                  <w:sz w:val="20"/>
                  <w:u w:val="single"/>
                </w:rPr>
                <w:t>99.2</w:t>
              </w:r>
            </w:hyperlink>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nbp-ex99_2.htm">
              <w:r>
                <w:rPr>
                  <w:rStyle w:val="InternetLink"/>
                  <w:rFonts w:ascii="Times New Roman" w:hAnsi="Times New Roman"/>
                  <w:color w:val="0000FF"/>
                  <w:sz w:val="20"/>
                  <w:u w:val="single"/>
                </w:rPr>
                <w:t>Notice of Extraordinary General Meeting</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3.htm">
              <w:r>
                <w:rPr>
                  <w:rStyle w:val="InternetLink"/>
                  <w:rFonts w:ascii="Times New Roman" w:hAnsi="Times New Roman"/>
                  <w:color w:val="0000FF"/>
                  <w:sz w:val="20"/>
                  <w:u w:val="single"/>
                </w:rPr>
                <w:t>99.3</w:t>
              </w:r>
            </w:hyperlink>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nbp-ex99_3.htm">
              <w:r>
                <w:rPr>
                  <w:rStyle w:val="InternetLink"/>
                  <w:rFonts w:ascii="Times New Roman" w:hAnsi="Times New Roman"/>
                  <w:color w:val="0000FF"/>
                  <w:sz w:val="20"/>
                  <w:u w:val="single"/>
                </w:rPr>
                <w:t>Form of Proxy for Annual General Meeting</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62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hyperlink w:anchor="nbp-ex99_4.htm">
              <w:r>
                <w:rPr>
                  <w:rStyle w:val="InternetLink"/>
                  <w:rFonts w:ascii="Times New Roman" w:hAnsi="Times New Roman"/>
                  <w:color w:val="0000FF"/>
                  <w:sz w:val="20"/>
                  <w:u w:val="single"/>
                </w:rPr>
                <w:t>99.4</w:t>
              </w:r>
            </w:hyperlink>
          </w:p>
        </w:tc>
        <w:tc>
          <w:tcPr>
            <w:tcW w:w="6241" w:type="dxa"/>
            <w:tcBorders/>
            <w:tcMar>
              <w:top w:w="0" w:type="dxa"/>
              <w:left w:w="0" w:type="dxa"/>
              <w:bottom w:w="0" w:type="dxa"/>
              <w:right w:w="0" w:type="dxa"/>
            </w:tcMar>
            <w:vAlign w:val="center"/>
          </w:tcPr>
          <w:p>
            <w:pPr>
              <w:pStyle w:val="TableContents"/>
              <w:bidi w:val="0"/>
              <w:spacing w:before="0" w:after="283"/>
              <w:jc w:val="left"/>
              <w:rPr/>
            </w:pPr>
            <w:hyperlink w:anchor="nbp-ex99_4.htm">
              <w:r>
                <w:rPr>
                  <w:rStyle w:val="InternetLink"/>
                  <w:rFonts w:ascii="Times New Roman" w:hAnsi="Times New Roman"/>
                  <w:color w:val="0000FF"/>
                  <w:sz w:val="20"/>
                  <w:u w:val="single"/>
                </w:rPr>
                <w:t>Form of Voting Instruction Card for Holders of American Depositary Shares</w:t>
              </w:r>
            </w:hyperlink>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09" w:type="dxa"/>
        <w:jc w:val="left"/>
        <w:tblInd w:w="0" w:type="dxa"/>
        <w:tblLayout w:type="fixed"/>
        <w:tblCellMar>
          <w:top w:w="28" w:type="dxa"/>
          <w:left w:w="28" w:type="dxa"/>
          <w:bottom w:w="28" w:type="dxa"/>
          <w:right w:w="28" w:type="dxa"/>
        </w:tblCellMar>
      </w:tblPr>
      <w:tblGrid>
        <w:gridCol w:w="161"/>
        <w:gridCol w:w="571"/>
        <w:gridCol w:w="16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I-MAB</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Kyler Lei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July 24, 2026</w:t>
      </w:r>
    </w:p>
    <w:p>
      <w:pPr>
        <w:pStyle w:val="HorizontalLine"/>
        <w:pBdr>
          <w:bottom w:val="double" w:sz="2" w:space="0" w:color="808080"/>
        </w:pBdr>
        <w:bidi w:val="0"/>
        <w:spacing w:before="0" w:after="283"/>
        <w:jc w:val="left"/>
        <w:rPr/>
      </w:pPr>
      <w:r>
        <w:rPr/>
      </w:r>
    </w:p>
    <w:p>
      <w:pPr>
        <w:pStyle w:val="TextBody"/>
        <w:bidi w:val="0"/>
        <w:spacing w:before="0" w:after="360"/>
        <w:jc w:val="right"/>
        <w:rPr>
          <w:rFonts w:ascii="Times New Roman" w:hAnsi="Times New Roman"/>
          <w:b/>
          <w:color w:val="000000"/>
          <w:sz w:val="20"/>
        </w:rPr>
      </w:pPr>
      <w:bookmarkStart w:id="2" w:name="nbp-ex99_1.htm"/>
      <w:bookmarkStart w:id="3" w:name="ksnbpex99_1"/>
      <w:bookmarkEnd w:id="2"/>
      <w:bookmarkEnd w:id="3"/>
      <w:r>
        <w:rPr>
          <w:rFonts w:ascii="Times New Roman" w:hAnsi="Times New Roman"/>
          <w:b/>
          <w:color w:val="000000"/>
          <w:sz w:val="20"/>
        </w:rPr>
        <w:t>Exhibit 99.1</w:t>
      </w:r>
      <w:r>
        <w:br w:type="page"/>
      </w:r>
    </w:p>
    <w:p>
      <w:pPr>
        <w:pStyle w:val="TextBody"/>
        <w:bidi w:val="0"/>
        <w:spacing w:before="0" w:after="360"/>
        <w:jc w:val="center"/>
        <w:rPr/>
      </w:pPr>
      <w:r>
        <w:rPr/>
        <w:drawing>
          <wp:inline distT="0" distB="0" distL="0" distR="0">
            <wp:extent cx="2647950"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47950" cy="866775"/>
                    </a:xfrm>
                    <a:prstGeom prst="rect">
                      <a:avLst/>
                    </a:prstGeom>
                  </pic:spPr>
                </pic:pic>
              </a:graphicData>
            </a:graphic>
          </wp:inline>
        </w:drawing>
      </w:r>
    </w:p>
    <w:p>
      <w:pPr>
        <w:pStyle w:val="TextBody"/>
        <w:bidi w:val="0"/>
        <w:jc w:val="center"/>
        <w:rPr>
          <w:rFonts w:ascii="Times New Roman" w:hAnsi="Times New Roman"/>
          <w:sz w:val="20"/>
        </w:rPr>
      </w:pPr>
      <w:r>
        <w:rPr>
          <w:rFonts w:ascii="sans-serif" w:hAnsi="sans-serif"/>
          <w:b/>
          <w:color w:val="000000"/>
          <w:sz w:val="28"/>
        </w:rPr>
        <w:t>NovaBridge Biosciences to Hold Annual General Meeting on September 8,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ROCKVILLE, MD, July 24, 2026 (GLOBE NEWSWIRE) – NovaBridge Biosciences (Nasdaq: NBP) (“NovaBridge” or the “Company”), a clinical-stage biopharmaceutical company advancing innovative medicines for areas of significant unmet need, today announced that it will hold its annual general meeting of shareholders (the </w:t>
      </w:r>
      <w:r>
        <w:rPr>
          <w:rFonts w:ascii="Times New Roman" w:hAnsi="Times New Roman"/>
          <w:color w:val="000000"/>
          <w:sz w:val="20"/>
        </w:rPr>
        <w:t>“</w:t>
      </w:r>
      <w:r>
        <w:rPr>
          <w:rFonts w:ascii="sans-serif" w:hAnsi="sans-serif"/>
          <w:color w:val="000000"/>
          <w:sz w:val="22"/>
        </w:rPr>
        <w:t>AGM</w:t>
      </w:r>
      <w:r>
        <w:rPr>
          <w:rFonts w:ascii="Times New Roman" w:hAnsi="Times New Roman"/>
          <w:color w:val="000000"/>
          <w:sz w:val="20"/>
        </w:rPr>
        <w:t>”</w:t>
      </w:r>
      <w:r>
        <w:rPr>
          <w:rFonts w:ascii="sans-serif" w:hAnsi="sans-serif"/>
          <w:color w:val="000000"/>
          <w:sz w:val="22"/>
        </w:rPr>
        <w:t>) at NovaBridge Biosciences Shanghai office, 38F, AIA Tower, No. 866 Dongchangzhi Road, Shanghai, China on September 8, 2026 at 10:00 a.m. (Shanghai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Holders of record of ordinary shares of a par value of US$0.0001 each of the Company at the close of business on July 27, 2026 (Shanghai time) are entitled to notice of, to attend and to vote at, the AGM or any adjournment(s) or postponement(s) thereof. Holders of the Company’s American depositary shares (</w:t>
      </w:r>
      <w:r>
        <w:rPr>
          <w:rFonts w:ascii="Times New Roman" w:hAnsi="Times New Roman"/>
          <w:color w:val="000000"/>
          <w:sz w:val="20"/>
        </w:rPr>
        <w:t>“</w:t>
      </w:r>
      <w:r>
        <w:rPr>
          <w:rFonts w:ascii="sans-serif" w:hAnsi="sans-serif"/>
          <w:color w:val="000000"/>
          <w:sz w:val="22"/>
        </w:rPr>
        <w:t>ADSs</w:t>
      </w:r>
      <w:r>
        <w:rPr>
          <w:rFonts w:ascii="Times New Roman" w:hAnsi="Times New Roman"/>
          <w:color w:val="000000"/>
          <w:sz w:val="20"/>
        </w:rPr>
        <w:t>”</w:t>
      </w:r>
      <w:r>
        <w:rPr>
          <w:rFonts w:ascii="sans-serif" w:hAnsi="sans-serif"/>
          <w:color w:val="000000"/>
          <w:sz w:val="22"/>
        </w:rPr>
        <w:t>) as of the close of business on July 27, 2026 (New York time) who wish to exercise their voting rights for the underlying ordinary shares must act through the depositary of the Company’s ADSs, Citibank, 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The Notice of AGM, which sets forth the resolution to be submitted to shareholder approval at the AGM, and the form of proxy for the AGM are available on the Company’s website at </w:t>
      </w:r>
      <w:r>
        <w:rPr>
          <w:rFonts w:ascii="sans-serif" w:hAnsi="sans-serif"/>
          <w:color w:val="0000FF"/>
          <w:sz w:val="22"/>
          <w:u w:val="single"/>
        </w:rPr>
        <w:t>https://www.novabridge.com</w:t>
      </w:r>
      <w:r>
        <w:rPr>
          <w:rFonts w:ascii="sans-serif" w:hAnsi="sans-serif"/>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The Company has filed its annual report on Form 20-F (as amended by Amendment No. 1 to the annual report on Form 20-F, the “Annual Report”), including its audited financial statements, for the fiscal year ended December 31, 2025, with the U.S. Securities and Exchange Commission (“SEC”). The Annual Report can be accessed on the Company’s website at </w:t>
      </w:r>
      <w:r>
        <w:rPr>
          <w:rFonts w:ascii="sans-serif" w:hAnsi="sans-serif"/>
          <w:color w:val="0000FF"/>
          <w:sz w:val="22"/>
          <w:u w:val="single"/>
        </w:rPr>
        <w:t>https://www.novabridge.com</w:t>
      </w:r>
      <w:r>
        <w:rPr>
          <w:rFonts w:ascii="sans-serif" w:hAnsi="sans-serif"/>
          <w:color w:val="000000"/>
          <w:sz w:val="22"/>
        </w:rPr>
        <w:t xml:space="preserve">, as well as on the SEC’s website at </w:t>
      </w:r>
      <w:r>
        <w:rPr>
          <w:rFonts w:ascii="sans-serif" w:hAnsi="sans-serif"/>
          <w:sz w:val="22"/>
        </w:rPr>
        <w:t>https://www.sec.gov</w:t>
      </w:r>
      <w:r>
        <w:rPr>
          <w:rFonts w:ascii="sans-serif" w:hAnsi="sans-serif"/>
          <w:color w:val="000000"/>
          <w:sz w:val="22"/>
        </w:rPr>
        <w: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About NovaBridge Biosciences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NovaBridge is a clinical-stage biopharmaceutical company advancing innovative medicines for areas of significant unmet need. The Company combines deep business development expertise with agile translational clinical development to identify, accelerate, and advance breakthrough assets, enabling transformative therapies to progress rapidly from discovery toward patients in need.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The Company’s differentiated pipeline is led by givastomig, a potential first-in-class Claudin 18.2-Targeted Immuno Amplifier (CTIA) — a Claudin 18.2 × 4-1BB bispecific antibody — and VIS-101, a purpose-designed, potential best-in-class dual VEGF-A × ANG-2 inhibitor.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Givastomig conditionally activates T cells via the 4-1BB signaling pathway in the tumor microenvironment where Claudin 18.2 is expressed, and is being developed to treat Claudin 18.2-positive gastric cancer and other gastrointestinal malignancies. It is being evaluated in a global, randomized Phase 2 study, following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sans-serif" w:hAnsi="sans-serif"/>
          <w:color w:val="000000"/>
          <w:sz w:val="22"/>
        </w:rPr>
        <w:t>positive topline results from a Phase 1b, multicenter, open-label study in first-line gastric cancer. NovaBridge is also collaborating with its partner, ABL Bio, on ragistomig, a bispecific antibody combining PD-L1 as a tumor engager with 4-1BB as a conditional T-cell activator, in solid tumors. In addition, NovaBridge holds worldwide rights outside of China to uliledlimab, an anti-CD73 antibody targeting adenosine-driven immunosuppression in cancer.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VIS-101 targets VEGF-A and ANG-2 to provide more rapid, robust, and durable treatment responses for patients with retinal vascular diseases, including wet age-related macular degeneration, diabetic macular edema, and retinal vein occlusion. It has completed a randomized, dose-ranging Phase 2a study in wet AMD and expects to initiate a dose-determining Phase 2b study in the second half of 2026. NovaBridge is the majority shareholder of Visara, Inc., which controls global rights to VIS-101 outside of Greater China and certain countries in Asia.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 xml:space="preserve">For more information, visit </w:t>
      </w:r>
      <w:r>
        <w:rPr>
          <w:rFonts w:ascii="sans-serif" w:hAnsi="sans-serif"/>
          <w:color w:val="0000FF"/>
          <w:sz w:val="22"/>
          <w:u w:val="single"/>
        </w:rPr>
        <w:t>https://www.novabridge.com</w:t>
      </w:r>
      <w:r>
        <w:rPr>
          <w:rFonts w:ascii="Times New Roman" w:hAnsi="Times New Roman"/>
          <w:color w:val="000000"/>
          <w:sz w:val="20"/>
        </w:rPr>
        <w:t xml:space="preserve"> </w:t>
      </w:r>
      <w:r>
        <w:rPr>
          <w:rFonts w:ascii="sans-serif" w:hAnsi="sans-serif"/>
          <w:color w:val="000000"/>
          <w:sz w:val="22"/>
        </w:rPr>
        <w:t>and follow NovaBridge on LinkedIn.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color w:val="000000"/>
          <w:sz w:val="22"/>
        </w:rPr>
        <w:t>This announcement contains forward-looking statements. These statements are made under the “safe harbor” provisions of the U.S. Private Securities Litigation Reform Act of 1995. These forward-looking statements can be identified by terminology such as “will,” “expects,” “believes,” “designed to,” “anticipates,” “future,” “intends,” “plans,” “potential,” “estimates,” “confident,” “look forward” and similar terms or the negative thereof. NovaBridge may also make written or oral forward-looking statements in its periodic reports to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 this press release include, without limitation, statements regarding: the Company’s expectations regarding the AGM; the strategic and clinical development of the Company’s drug candidates, including givastomig, VIS-101, ragistomig, and uliledlimab; the potential for these product candidates to receive regulatory approval from the FDA or equivalent foreign regulatory agencies, and whether, if approved, these product candidates will be successfully distributed and marketed and the potential market opportunity for these product candidates; and anticipated clinical milestones and results, and related timing. Forward-looking statements involve inherent risks and uncertainties that may cause actual results to differ materially from those contained in these forward-looking statements, including but not limited to the following: the Company’s ability to demonstrate the safety and efficacy of its drug candidates; the clinical results for its drug candidates, which may or may not support further development or New Drug Application/Biologics License Application (NDA/BLA) approval or eligibility for or achievement of Accelerated Approval Pathway; the content and timing of decisions made by the relevant regulatory authorities, including the FDA, regarding regulatory approval of the Company’s drug candidates; the Company’s ability to achieve commercial success for its drug candidates, if approved; the Company’s ability to obtain and maintain protection of intellectual property for its technology and drugs; the Company’s reliance on third parties to conduct drug development, manufacturing and other services; the Company’s limited operating history and the Company’s ability to obtain additional funding for operations and to complete the development and commercialization of its drug candidates; the impact of macroeconomic conditions, including inflation, tariffs, volatile interest rates, regulatory uncertainty, potential government shutdowns, volatility in the capital markets, and regional and other global events, including ongoing armed conflicts in different regions of the world; and those risks more fully discussed in the “Risk Factors” section in the Company’s annual report on Form 20-F filed with the SEC on April 7, 2026 as well as the discussions of potential risks,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sans-serif" w:hAnsi="sans-serif"/>
          <w:color w:val="000000"/>
          <w:sz w:val="22"/>
        </w:rPr>
        <w:t>uncertainties, and other important factors in the Company’s subsequent filings with the SEC. All forward-looking statements are based on information currently available to the Company. The Company undertakes no obligation to publicly update or revise any forward-looking statements, whether as a result of new information, future events, or otherwise, except as may be required by law.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sans-serif" w:hAnsi="sans-serif"/>
          <w:b/>
          <w:color w:val="000000"/>
          <w:sz w:val="22"/>
        </w:rPr>
        <w:t>NovaBridge Investor &amp; Media Contacts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NovaBridge Biosciences </w:t>
      </w:r>
      <w:r>
        <w:rPr>
          <w:rFonts w:ascii="Times New Roman" w:hAnsi="Times New Roman"/>
          <w:color w:val="000000"/>
          <w:sz w:val="22"/>
        </w:rPr>
        <w:br/>
      </w:r>
      <w:r>
        <w:rPr>
          <w:rFonts w:ascii="sans-serif" w:hAnsi="sans-serif"/>
          <w:color w:val="000000"/>
          <w:sz w:val="22"/>
        </w:rPr>
        <w:t>+1-240-745-6330</w:t>
      </w:r>
      <w:r>
        <w:rPr>
          <w:rFonts w:ascii="Times New Roman" w:hAnsi="Times New Roman"/>
          <w:color w:val="000000"/>
          <w:sz w:val="20"/>
        </w:rPr>
        <w:t xml:space="preserve"> </w:t>
      </w:r>
      <w:r>
        <w:rPr>
          <w:rFonts w:ascii="Arial" w:hAnsi="Arial"/>
          <w:color w:val="000000"/>
          <w:sz w:val="22"/>
        </w:rPr>
        <w:br/>
      </w:r>
      <w:r>
        <w:rPr>
          <w:rFonts w:ascii="sans-serif" w:hAnsi="sans-serif"/>
          <w:color w:val="0000FF"/>
          <w:sz w:val="22"/>
          <w:u w:val="single"/>
        </w:rPr>
        <w:t>IR@novabridge.com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Bill Begien, VP, Investor Relations </w:t>
      </w:r>
      <w:r>
        <w:rPr>
          <w:rFonts w:ascii="Times New Roman" w:hAnsi="Times New Roman"/>
          <w:color w:val="000000"/>
          <w:sz w:val="22"/>
        </w:rPr>
        <w:br/>
      </w:r>
      <w:r>
        <w:rPr>
          <w:rFonts w:ascii="sans-serif" w:hAnsi="sans-serif"/>
          <w:color w:val="0000FF"/>
          <w:sz w:val="22"/>
          <w:u w:val="single"/>
        </w:rPr>
        <w:t>bill.begien@novabridge.com</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2"/>
        </w:rPr>
        <w:t xml:space="preserve">Jessica Zhang, Director, Public Relations </w:t>
      </w:r>
      <w:r>
        <w:rPr>
          <w:rFonts w:ascii="Times New Roman" w:hAnsi="Times New Roman"/>
          <w:color w:val="000000"/>
          <w:sz w:val="22"/>
        </w:rPr>
        <w:br/>
      </w:r>
      <w:r>
        <w:rPr>
          <w:rFonts w:ascii="sans-serif" w:hAnsi="sans-serif"/>
          <w:color w:val="0000FF"/>
          <w:sz w:val="22"/>
          <w:u w:val="single"/>
        </w:rPr>
        <w:t>jessica.zhang@novabridge.com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 w:name="nbp-ex99_2.htm"/>
      <w:bookmarkStart w:id="5" w:name="ksnbpex99_2"/>
      <w:bookmarkEnd w:id="4"/>
      <w:bookmarkEnd w:id="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99.2</w:t>
      </w:r>
    </w:p>
    <w:p>
      <w:pPr>
        <w:pStyle w:val="TextBody"/>
        <w:bidi w:val="0"/>
        <w:jc w:val="center"/>
        <w:rPr>
          <w:rFonts w:ascii="Times New Roman" w:hAnsi="Times New Roman"/>
          <w:b/>
          <w:color w:val="000000"/>
          <w:sz w:val="24"/>
        </w:rPr>
      </w:pPr>
      <w:r>
        <w:rPr>
          <w:rFonts w:ascii="Times New Roman" w:hAnsi="Times New Roman"/>
          <w:b/>
          <w:color w:val="000000"/>
          <w:sz w:val="24"/>
        </w:rPr>
        <w:t>NovaBridge Biosciences</w:t>
      </w:r>
    </w:p>
    <w:p>
      <w:pPr>
        <w:pStyle w:val="TextBody"/>
        <w:bidi w:val="0"/>
        <w:jc w:val="center"/>
        <w:rPr>
          <w:rFonts w:ascii="Times New Roman" w:hAnsi="Times New Roman"/>
          <w:b/>
          <w:i/>
          <w:color w:val="000000"/>
          <w:sz w:val="24"/>
        </w:rPr>
      </w:pPr>
      <w:r>
        <w:rPr>
          <w:rFonts w:ascii="Times New Roman" w:hAnsi="Times New Roman"/>
          <w:b/>
          <w:i/>
          <w:color w:val="000000"/>
          <w:sz w:val="24"/>
        </w:rPr>
        <w:t>(Incorporated in the Cayman Islands with limited liability)</w:t>
      </w:r>
    </w:p>
    <w:p>
      <w:pPr>
        <w:pStyle w:val="TextBody"/>
        <w:bidi w:val="0"/>
        <w:jc w:val="center"/>
        <w:rPr>
          <w:rFonts w:ascii="Times New Roman" w:hAnsi="Times New Roman"/>
          <w:b/>
          <w:color w:val="000000"/>
          <w:sz w:val="24"/>
        </w:rPr>
      </w:pPr>
      <w:r>
        <w:rPr>
          <w:rFonts w:ascii="Times New Roman" w:hAnsi="Times New Roman"/>
          <w:b/>
          <w:color w:val="000000"/>
          <w:sz w:val="24"/>
        </w:rPr>
        <w:t>(Nasdaq: NBP)</w:t>
      </w:r>
    </w:p>
    <w:p>
      <w:pPr>
        <w:pStyle w:val="TextBody"/>
        <w:bidi w:val="0"/>
        <w:spacing w:before="0" w:after="240"/>
        <w:jc w:val="center"/>
        <w:rPr/>
      </w:pPr>
      <w:r>
        <w:rPr/>
        <w:drawing>
          <wp:inline distT="0" distB="0" distL="0" distR="0">
            <wp:extent cx="109537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95375" cy="14605"/>
                    </a:xfrm>
                    <a:prstGeom prst="rect">
                      <a:avLst/>
                    </a:prstGeom>
                  </pic:spPr>
                </pic:pic>
              </a:graphicData>
            </a:graphic>
          </wp:inline>
        </w:drawing>
      </w:r>
    </w:p>
    <w:p>
      <w:pPr>
        <w:pStyle w:val="TextBody"/>
        <w:bidi w:val="0"/>
        <w:jc w:val="center"/>
        <w:rPr>
          <w:rFonts w:ascii="Times New Roman" w:hAnsi="Times New Roman"/>
          <w:b/>
          <w:color w:val="000000"/>
          <w:sz w:val="24"/>
        </w:rPr>
      </w:pPr>
      <w:r>
        <w:rPr>
          <w:rFonts w:ascii="Times New Roman" w:hAnsi="Times New Roman"/>
          <w:b/>
          <w:color w:val="000000"/>
          <w:sz w:val="24"/>
        </w:rPr>
        <w:t>NOTICE OF ANNUAL GENERAL MEETING</w:t>
      </w:r>
    </w:p>
    <w:p>
      <w:pPr>
        <w:pStyle w:val="TextBody"/>
        <w:bidi w:val="0"/>
        <w:jc w:val="center"/>
        <w:rPr>
          <w:rFonts w:ascii="Times New Roman" w:hAnsi="Times New Roman"/>
          <w:b/>
          <w:color w:val="000000"/>
          <w:sz w:val="24"/>
        </w:rPr>
      </w:pPr>
      <w:r>
        <w:rPr>
          <w:rFonts w:ascii="Times New Roman" w:hAnsi="Times New Roman"/>
          <w:b/>
          <w:color w:val="000000"/>
          <w:sz w:val="24"/>
        </w:rPr>
        <w:t>To be held on September 8, 2026</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(or any adjournment(s) or postponement(s) thereof)</w:t>
      </w:r>
    </w:p>
    <w:p>
      <w:pPr>
        <w:pStyle w:val="TextBody"/>
        <w:bidi w:val="0"/>
        <w:spacing w:before="0" w:after="240"/>
        <w:jc w:val="both"/>
        <w:rPr>
          <w:rFonts w:ascii="Times New Roman" w:hAnsi="Times New Roman"/>
          <w:sz w:val="20"/>
        </w:rPr>
      </w:pPr>
      <w:r>
        <w:rPr>
          <w:rFonts w:ascii="Times New Roman" w:hAnsi="Times New Roman"/>
          <w:b/>
          <w:color w:val="000000"/>
          <w:sz w:val="24"/>
        </w:rPr>
        <w:t>NOTICE IS HEREBY GIVEN</w:t>
      </w:r>
      <w:r>
        <w:rPr>
          <w:rFonts w:ascii="Times New Roman" w:hAnsi="Times New Roman"/>
          <w:color w:val="000000"/>
          <w:sz w:val="20"/>
        </w:rPr>
        <w:t xml:space="preserve"> </w:t>
      </w:r>
      <w:r>
        <w:rPr>
          <w:rFonts w:ascii="Times New Roman" w:hAnsi="Times New Roman"/>
          <w:b/>
          <w:caps/>
          <w:color w:val="000000"/>
          <w:sz w:val="24"/>
        </w:rPr>
        <w:t>that</w:t>
      </w:r>
      <w:r>
        <w:rPr>
          <w:rFonts w:ascii="Times New Roman" w:hAnsi="Times New Roman"/>
          <w:color w:val="000000"/>
          <w:sz w:val="20"/>
        </w:rPr>
        <w:t xml:space="preserve"> </w:t>
      </w:r>
      <w:r>
        <w:rPr>
          <w:rFonts w:ascii="Times New Roman" w:hAnsi="Times New Roman"/>
          <w:color w:val="000000"/>
          <w:sz w:val="24"/>
        </w:rPr>
        <w:t>an annual general meeting of shareholders (the “</w:t>
      </w:r>
      <w:r>
        <w:rPr>
          <w:rFonts w:ascii="Times New Roman" w:hAnsi="Times New Roman"/>
          <w:b/>
          <w:color w:val="000000"/>
          <w:sz w:val="24"/>
        </w:rPr>
        <w:t>AGM</w:t>
      </w:r>
      <w:r>
        <w:rPr>
          <w:rFonts w:ascii="Times New Roman" w:hAnsi="Times New Roman"/>
          <w:color w:val="000000"/>
          <w:sz w:val="20"/>
        </w:rPr>
        <w:t>”</w:t>
      </w:r>
      <w:r>
        <w:rPr>
          <w:rFonts w:ascii="Times New Roman" w:hAnsi="Times New Roman"/>
          <w:color w:val="000000"/>
          <w:sz w:val="24"/>
        </w:rPr>
        <w:t>) of NovaBridge Biosciences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will be held at 10:00 a.m. (Shanghai time) on September 8, 2026 at NovaBridge Biosciences’ Shanghai office, 38F, AIA Tower, No. 866 Dongchangzhi Road, Shanghai, China for the purpose to consider and, if thought fit, pass the following resolution (the “</w:t>
      </w:r>
      <w:r>
        <w:rPr>
          <w:rFonts w:ascii="Times New Roman" w:hAnsi="Times New Roman"/>
          <w:b/>
          <w:color w:val="000000"/>
          <w:sz w:val="24"/>
        </w:rPr>
        <w:t>Proposed Resolution</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bookmarkStart w:id="6" w:name="ole_link43"/>
      <w:bookmarkEnd w:id="6"/>
      <w:r>
        <w:rPr>
          <w:rFonts w:ascii="Times New Roman" w:hAnsi="Times New Roman"/>
          <w:b/>
          <w:caps/>
          <w:color w:val="000000"/>
          <w:sz w:val="24"/>
        </w:rPr>
        <w:t xml:space="preserve">as an ordinary resolution, </w:t>
      </w:r>
      <w:r>
        <w:rPr>
          <w:rFonts w:ascii="Times New Roman" w:hAnsi="Times New Roman"/>
          <w:b/>
          <w:color w:val="000000"/>
          <w:sz w:val="24"/>
        </w:rPr>
        <w:t>THAT</w:t>
      </w:r>
      <w:r>
        <w:rPr>
          <w:rFonts w:ascii="Times New Roman" w:hAnsi="Times New Roman"/>
          <w:color w:val="000000"/>
          <w:sz w:val="20"/>
        </w:rPr>
        <w:t xml:space="preserve"> </w:t>
      </w:r>
      <w:r>
        <w:rPr>
          <w:rFonts w:ascii="Times New Roman" w:hAnsi="Times New Roman"/>
          <w:color w:val="000000"/>
          <w:sz w:val="24"/>
        </w:rPr>
        <w:t>Ms. Xin Liu be removed from her position as a director of the Company with immediate effect upon passing of this resolution, and each director of the Company be and is hereby authorized to take any and every action that might be necessary in relation to the foregoing resolution as such director, in his or her absolute discretion, thinks fit.</w:t>
      </w:r>
    </w:p>
    <w:p>
      <w:pPr>
        <w:pStyle w:val="TextBody"/>
        <w:bidi w:val="0"/>
        <w:spacing w:before="0" w:after="240"/>
        <w:jc w:val="both"/>
        <w:rPr>
          <w:rFonts w:ascii="Times New Roman" w:hAnsi="Times New Roman"/>
          <w:sz w:val="20"/>
        </w:rPr>
      </w:pPr>
      <w:r>
        <w:rPr>
          <w:rFonts w:ascii="Times New Roman" w:hAnsi="Times New Roman"/>
          <w:color w:val="000000"/>
          <w:sz w:val="24"/>
        </w:rPr>
        <w:t>Consistent with the Company’s ongoing efforts to enhance its corporate governance framework and to optimize the size and composition of the board of directors (the “</w:t>
      </w:r>
      <w:r>
        <w:rPr>
          <w:rFonts w:ascii="Times New Roman" w:hAnsi="Times New Roman"/>
          <w:b/>
          <w:color w:val="000000"/>
          <w:sz w:val="24"/>
        </w:rPr>
        <w:t>Board</w:t>
      </w:r>
      <w:r>
        <w:rPr>
          <w:rFonts w:ascii="Times New Roman" w:hAnsi="Times New Roman"/>
          <w:color w:val="000000"/>
          <w:sz w:val="20"/>
        </w:rPr>
        <w:t>”</w:t>
      </w:r>
      <w:r>
        <w:rPr>
          <w:rFonts w:ascii="Times New Roman" w:hAnsi="Times New Roman"/>
          <w:color w:val="000000"/>
          <w:sz w:val="24"/>
        </w:rPr>
        <w:t>) to improve operational efficiency and decision-making, the Board carefully considered the Proposed Resolution and has determined that its passing is in the best interests of the Company and its shareholders. The Board recommends that shareholders vote “FOR” the Proposed Resolution.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the meeting will transact any other business properly brought before the meeting.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SHARES RECORD DATE AND PROXY FORM</w:t>
      </w:r>
    </w:p>
    <w:p>
      <w:pPr>
        <w:pStyle w:val="TextBody"/>
        <w:bidi w:val="0"/>
        <w:spacing w:before="0" w:after="240"/>
        <w:jc w:val="both"/>
        <w:rPr>
          <w:rFonts w:ascii="Times New Roman" w:hAnsi="Times New Roman"/>
          <w:sz w:val="20"/>
        </w:rPr>
      </w:pPr>
      <w:r>
        <w:rPr>
          <w:rFonts w:ascii="Times New Roman" w:hAnsi="Times New Roman"/>
          <w:color w:val="000000"/>
          <w:sz w:val="24"/>
        </w:rPr>
        <w:t>Holders of record of the Company’s ordinary shares of a par value of US$0.0001 each (the “</w:t>
      </w:r>
      <w:r>
        <w:rPr>
          <w:rFonts w:ascii="Times New Roman" w:hAnsi="Times New Roman"/>
          <w:b/>
          <w:color w:val="000000"/>
          <w:sz w:val="24"/>
        </w:rPr>
        <w:t>Shares</w:t>
      </w:r>
      <w:r>
        <w:rPr>
          <w:rFonts w:ascii="Times New Roman" w:hAnsi="Times New Roman"/>
          <w:color w:val="000000"/>
          <w:sz w:val="20"/>
        </w:rPr>
        <w:t>”</w:t>
      </w:r>
      <w:r>
        <w:rPr>
          <w:rFonts w:ascii="Times New Roman" w:hAnsi="Times New Roman"/>
          <w:color w:val="000000"/>
          <w:sz w:val="24"/>
        </w:rPr>
        <w:t>) as of the close of business on July 27, 2026 (Shanghai time) (the “</w:t>
      </w:r>
      <w:r>
        <w:rPr>
          <w:rFonts w:ascii="Times New Roman" w:hAnsi="Times New Roman"/>
          <w:b/>
          <w:color w:val="000000"/>
          <w:sz w:val="24"/>
        </w:rPr>
        <w:t>Share Record Date</w:t>
      </w:r>
      <w:r>
        <w:rPr>
          <w:rFonts w:ascii="Times New Roman" w:hAnsi="Times New Roman"/>
          <w:color w:val="000000"/>
          <w:sz w:val="20"/>
        </w:rPr>
        <w:t>”</w:t>
      </w:r>
      <w:r>
        <w:rPr>
          <w:rFonts w:ascii="Times New Roman" w:hAnsi="Times New Roman"/>
          <w:color w:val="000000"/>
          <w:sz w:val="24"/>
        </w:rPr>
        <w:t>) are entitled to attend and vote at the AGM and any adjournment(s) or postponement(s)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Holders of Shares as of the Share Record Date may either (1) attend the AGM in person to vote, or (2) appoint a proxy to exercise his or her rights at the AGM. You are urged to complete, sign, date and return the accompanying proxy form (for holders of Shares) as promptly as possible and before the prescribed deadline if you wish to exercise your voting rights. We must receive the proxy form by no later than 4:00 p.m. (Shanghai time) on September 6, 2026 by e-mail to </w:t>
      </w:r>
      <w:r>
        <w:rPr>
          <w:rFonts w:ascii="Times New Roman" w:hAnsi="Times New Roman"/>
          <w:sz w:val="24"/>
        </w:rPr>
        <w:t>shareholdermeeting@novabridge.com</w:t>
      </w:r>
      <w:r>
        <w:rPr>
          <w:rFonts w:ascii="Times New Roman" w:hAnsi="Times New Roman"/>
          <w:color w:val="000000"/>
          <w:sz w:val="20"/>
        </w:rPr>
        <w:t xml:space="preserve"> </w:t>
      </w:r>
      <w:r>
        <w:rPr>
          <w:rFonts w:ascii="Times New Roman" w:hAnsi="Times New Roman"/>
          <w:color w:val="000000"/>
          <w:sz w:val="24"/>
        </w:rPr>
        <w:t>or by mail to the Company’s office at NovaBridge Biosciences Shanghai office, 38F, AIA Tower, No. 866 Dongchangzhi Road, Shanghai, China, to ensure your representation at the AGM.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ADS RECORD DATE AND ADS VOTING INSTRUCTIONS</w:t>
      </w:r>
    </w:p>
    <w:p>
      <w:pPr>
        <w:pStyle w:val="TextBody"/>
        <w:bidi w:val="0"/>
        <w:spacing w:before="0" w:after="240"/>
        <w:jc w:val="both"/>
        <w:rPr>
          <w:rFonts w:ascii="Times New Roman" w:hAnsi="Times New Roman"/>
          <w:sz w:val="20"/>
        </w:rPr>
      </w:pPr>
      <w:r>
        <w:rPr>
          <w:rFonts w:ascii="Times New Roman" w:hAnsi="Times New Roman"/>
          <w:color w:val="000000"/>
          <w:sz w:val="24"/>
        </w:rPr>
        <w:t>Holders of record of the Company’s American depositary shares (the “</w:t>
      </w:r>
      <w:r>
        <w:rPr>
          <w:rFonts w:ascii="Times New Roman" w:hAnsi="Times New Roman"/>
          <w:b/>
          <w:color w:val="000000"/>
          <w:sz w:val="24"/>
        </w:rPr>
        <w:t>ADSs</w:t>
      </w:r>
      <w:r>
        <w:rPr>
          <w:rFonts w:ascii="Times New Roman" w:hAnsi="Times New Roman"/>
          <w:color w:val="000000"/>
          <w:sz w:val="20"/>
        </w:rPr>
        <w:t>”</w:t>
      </w:r>
      <w:r>
        <w:rPr>
          <w:rFonts w:ascii="Times New Roman" w:hAnsi="Times New Roman"/>
          <w:color w:val="000000"/>
          <w:sz w:val="24"/>
        </w:rPr>
        <w:t>) as of the close of business on July 27, 2026 (Eastern Time) (the “</w:t>
      </w:r>
      <w:r>
        <w:rPr>
          <w:rFonts w:ascii="Times New Roman" w:hAnsi="Times New Roman"/>
          <w:b/>
          <w:color w:val="000000"/>
          <w:sz w:val="24"/>
        </w:rPr>
        <w:t>ADS Record Date</w:t>
      </w:r>
      <w:r>
        <w:rPr>
          <w:rFonts w:ascii="Times New Roman" w:hAnsi="Times New Roman"/>
          <w:color w:val="000000"/>
          <w:sz w:val="20"/>
        </w:rPr>
        <w:t>”</w:t>
      </w:r>
      <w:r>
        <w:rPr>
          <w:rFonts w:ascii="Times New Roman" w:hAnsi="Times New Roman"/>
          <w:color w:val="000000"/>
          <w:sz w:val="24"/>
        </w:rPr>
        <w:t>) who wish to exercise their voting rights for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the underlying Shares must give voting instructions to Citibank, N.A., the depositary of the ADSs, as to how to vote the Shares represented by the ADSs.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You are urged to complete, sign, date and return your voting instructions to Citibank, N.A. (for holders of ADSs) as promptly as possible and before the prescribed deadline if you wish to exercise your voting rights. Citibank, N.A. must receive your voting instructions by no later than 10:00 a.m. (Eastern Time) on September 1, 2026 to enable the votes attaching to the Shares represented by your ADSs to be cast at the AGM. The voting instructions must be properly marked, signed and returned on time in order to be counted. If Citibank, N.A. does not receive voting instructions from a holder of ADSs by the time specified in the ADS voting instruction card, Citibank, N.A. will deem such holder of ADSs to have instructed it to give a proxy to a person designated by the Company.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ATTENDING THE AGM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Only holders of record of Shares as of the Share Record Date are entitled to attend and vote at the AGM.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officers and agents of the Company reserve the right to refuse any person entry to the AGM venue, or to instruct any person to leave the AGM venue, where such officer or agent reasonably considers that such refusal or instruction is or may be required for the Company or any other person to be able to comply with applicable laws and regulations. The exercise of such right to refuse entry or instruct to leave shall not invalidate the proceedings at the AGM.</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ANNUAL REPORT</w:t>
      </w:r>
    </w:p>
    <w:p>
      <w:pPr>
        <w:pStyle w:val="TextBody"/>
        <w:bidi w:val="0"/>
        <w:spacing w:before="0" w:after="240"/>
        <w:jc w:val="both"/>
        <w:rPr>
          <w:rFonts w:ascii="Times New Roman" w:hAnsi="Times New Roman"/>
          <w:sz w:val="20"/>
        </w:rPr>
      </w:pPr>
      <w:r>
        <w:rPr>
          <w:rFonts w:ascii="Times New Roman" w:hAnsi="Times New Roman"/>
          <w:color w:val="000000"/>
          <w:sz w:val="24"/>
        </w:rPr>
        <w:t>The Company has filed its annual report on Form 20-F (as amended by Amendment No. 1 to the annual report on Form 20-F, the “Annual Report”), including its audited financial statements, for the fiscal year ended December 31, 2025, with the U.S. Securities and Exchange Commission (“</w:t>
      </w:r>
      <w:r>
        <w:rPr>
          <w:rFonts w:ascii="Times New Roman" w:hAnsi="Times New Roman"/>
          <w:b/>
          <w:color w:val="000000"/>
          <w:sz w:val="24"/>
        </w:rPr>
        <w:t>SEC</w:t>
      </w:r>
      <w:r>
        <w:rPr>
          <w:rFonts w:ascii="Times New Roman" w:hAnsi="Times New Roman"/>
          <w:color w:val="000000"/>
          <w:sz w:val="20"/>
        </w:rPr>
        <w:t>”</w:t>
      </w:r>
      <w:r>
        <w:rPr>
          <w:rFonts w:ascii="Times New Roman" w:hAnsi="Times New Roman"/>
          <w:color w:val="000000"/>
          <w:sz w:val="24"/>
        </w:rPr>
        <w:t xml:space="preserve">). The Annual Report can be accessed on the Company’s website at </w:t>
      </w:r>
      <w:r>
        <w:rPr>
          <w:rFonts w:ascii="Times New Roman" w:hAnsi="Times New Roman"/>
          <w:sz w:val="24"/>
        </w:rPr>
        <w:t>https://www.novabridge.com</w:t>
      </w:r>
      <w:r>
        <w:rPr>
          <w:rFonts w:ascii="Times New Roman" w:hAnsi="Times New Roman"/>
          <w:color w:val="000000"/>
          <w:sz w:val="24"/>
        </w:rPr>
        <w:t xml:space="preserve">, as well as on the SEC’s website at </w:t>
      </w:r>
      <w:r>
        <w:rPr>
          <w:rFonts w:ascii="Times New Roman" w:hAnsi="Times New Roman"/>
          <w:sz w:val="24"/>
        </w:rPr>
        <w:t>https://www.sec.gov</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Order of the Board of Directors,</w:t>
      </w:r>
    </w:p>
    <w:p>
      <w:pPr>
        <w:pStyle w:val="TextBody"/>
        <w:bidi w:val="0"/>
        <w:jc w:val="left"/>
        <w:rPr>
          <w:rFonts w:ascii="Times New Roman" w:hAnsi="Times New Roman"/>
          <w:b/>
          <w:color w:val="000000"/>
          <w:sz w:val="24"/>
        </w:rPr>
      </w:pPr>
      <w:r>
        <w:rPr>
          <w:rFonts w:ascii="Times New Roman" w:hAnsi="Times New Roman"/>
          <w:b/>
          <w:color w:val="000000"/>
          <w:sz w:val="24"/>
        </w:rPr>
        <w:t>NovaBridge Biosciences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/s/Fu Wei </w:t>
      </w:r>
    </w:p>
    <w:p>
      <w:pPr>
        <w:pStyle w:val="TextBody"/>
        <w:bidi w:val="0"/>
        <w:jc w:val="left"/>
        <w:rPr>
          <w:rFonts w:ascii="Times New Roman" w:hAnsi="Times New Roman"/>
          <w:color w:val="000000"/>
          <w:sz w:val="24"/>
        </w:rPr>
      </w:pPr>
      <w:r>
        <w:rPr>
          <w:rFonts w:ascii="Times New Roman" w:hAnsi="Times New Roman"/>
          <w:color w:val="000000"/>
          <w:sz w:val="24"/>
        </w:rPr>
        <w:t>Name: Fu Wei</w:t>
      </w:r>
    </w:p>
    <w:p>
      <w:pPr>
        <w:pStyle w:val="TextBody"/>
        <w:bidi w:val="0"/>
        <w:jc w:val="left"/>
        <w:rPr>
          <w:rFonts w:ascii="Times New Roman" w:hAnsi="Times New Roman"/>
          <w:color w:val="000000"/>
          <w:sz w:val="24"/>
        </w:rPr>
      </w:pPr>
      <w:r>
        <w:rPr>
          <w:rFonts w:ascii="Times New Roman" w:hAnsi="Times New Roman"/>
          <w:color w:val="000000"/>
          <w:sz w:val="24"/>
        </w:rPr>
        <w:t>Title: Chairman of the Board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Shanghai, July 24,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nbp-ex99_3.htm"/>
      <w:bookmarkStart w:id="8" w:name="ksnbpex99_3"/>
      <w:bookmarkEnd w:id="7"/>
      <w:bookmarkEnd w:id="8"/>
      <w:r>
        <w:rPr>
          <w:rFonts w:ascii="Times New Roman" w:hAnsi="Times New Roman"/>
          <w:b/>
          <w:color w:val="000000"/>
          <w:sz w:val="20"/>
        </w:rPr>
        <w:t>Exhibit 99.3</w:t>
      </w:r>
      <w:r>
        <w:br w:type="page"/>
      </w:r>
    </w:p>
    <w:p>
      <w:pPr>
        <w:pStyle w:val="TextBody"/>
        <w:bidi w:val="0"/>
        <w:jc w:val="center"/>
        <w:rPr>
          <w:rFonts w:ascii="Times New Roman" w:hAnsi="Times New Roman"/>
          <w:b/>
          <w:color w:val="000000"/>
          <w:sz w:val="32"/>
        </w:rPr>
      </w:pPr>
      <w:r>
        <w:rPr>
          <w:rFonts w:ascii="Times New Roman" w:hAnsi="Times New Roman"/>
          <w:b/>
          <w:color w:val="000000"/>
          <w:sz w:val="32"/>
        </w:rPr>
        <w:t>NovaBridge Biosciences</w:t>
      </w:r>
    </w:p>
    <w:p>
      <w:pPr>
        <w:pStyle w:val="TextBody"/>
        <w:bidi w:val="0"/>
        <w:jc w:val="center"/>
        <w:rPr>
          <w:rFonts w:ascii="Times New Roman" w:hAnsi="Times New Roman"/>
          <w:i/>
          <w:color w:val="000000"/>
          <w:sz w:val="20"/>
        </w:rPr>
      </w:pPr>
      <w:r>
        <w:rPr>
          <w:rFonts w:ascii="Times New Roman" w:hAnsi="Times New Roman"/>
          <w:i/>
          <w:color w:val="000000"/>
          <w:sz w:val="20"/>
        </w:rPr>
        <w:t>(Incorporated in the Cayman Islands with limited liability)</w:t>
      </w:r>
    </w:p>
    <w:p>
      <w:pPr>
        <w:pStyle w:val="TextBody"/>
        <w:bidi w:val="0"/>
        <w:spacing w:before="30" w:after="120"/>
        <w:jc w:val="center"/>
        <w:rPr>
          <w:rFonts w:ascii="Times New Roman" w:hAnsi="Times New Roman"/>
          <w:color w:val="000000"/>
          <w:sz w:val="20"/>
        </w:rPr>
      </w:pPr>
      <w:r>
        <w:rPr>
          <w:rFonts w:ascii="Times New Roman" w:hAnsi="Times New Roman"/>
          <w:color w:val="000000"/>
          <w:sz w:val="20"/>
        </w:rPr>
        <w:t>(Nasdaq: NBP)</w:t>
      </w:r>
    </w:p>
    <w:p>
      <w:pPr>
        <w:pStyle w:val="TextBody"/>
        <w:bidi w:val="0"/>
        <w:spacing w:before="0" w:after="200"/>
        <w:jc w:val="center"/>
        <w:rPr/>
      </w:pPr>
      <w:r>
        <w:rPr/>
        <w:drawing>
          <wp:inline distT="0" distB="0" distL="0" distR="0">
            <wp:extent cx="109537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95375" cy="14605"/>
                    </a:xfrm>
                    <a:prstGeom prst="rect">
                      <a:avLst/>
                    </a:prstGeom>
                  </pic:spPr>
                </pic:pic>
              </a:graphicData>
            </a:graphic>
          </wp:inline>
        </w:drawing>
      </w:r>
    </w:p>
    <w:p>
      <w:pPr>
        <w:pStyle w:val="TextBody"/>
        <w:bidi w:val="0"/>
        <w:spacing w:before="0" w:after="80"/>
        <w:jc w:val="center"/>
        <w:rPr>
          <w:rFonts w:ascii="Times New Roman" w:hAnsi="Times New Roman"/>
          <w:b/>
          <w:color w:val="000000"/>
          <w:sz w:val="23"/>
        </w:rPr>
      </w:pPr>
      <w:r>
        <w:rPr>
          <w:rFonts w:ascii="Times New Roman" w:hAnsi="Times New Roman"/>
          <w:b/>
          <w:color w:val="000000"/>
          <w:sz w:val="23"/>
        </w:rPr>
        <w:t>Form of Proxy for Annual General Meeting</w:t>
      </w:r>
    </w:p>
    <w:p>
      <w:pPr>
        <w:pStyle w:val="TextBody"/>
        <w:bidi w:val="0"/>
        <w:jc w:val="center"/>
        <w:rPr>
          <w:rFonts w:ascii="Times New Roman" w:hAnsi="Times New Roman"/>
          <w:color w:val="000000"/>
          <w:sz w:val="20"/>
        </w:rPr>
      </w:pPr>
      <w:r>
        <w:rPr>
          <w:rFonts w:ascii="Times New Roman" w:hAnsi="Times New Roman"/>
          <w:color w:val="000000"/>
          <w:sz w:val="20"/>
        </w:rPr>
        <w:t>to be held on September 8, 2026</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(or any adjournment(s) or postponement(s) thereof)</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Introduction</w:t>
      </w:r>
    </w:p>
    <w:p>
      <w:pPr>
        <w:pStyle w:val="TextBody"/>
        <w:bidi w:val="0"/>
        <w:spacing w:before="0" w:after="240"/>
        <w:jc w:val="both"/>
        <w:rPr>
          <w:rFonts w:ascii="Times New Roman" w:hAnsi="Times New Roman"/>
          <w:sz w:val="20"/>
        </w:rPr>
      </w:pPr>
      <w:bookmarkStart w:id="9" w:name="ole_link42"/>
      <w:bookmarkEnd w:id="9"/>
      <w:r>
        <w:rPr>
          <w:rFonts w:ascii="Times New Roman" w:hAnsi="Times New Roman"/>
          <w:color w:val="000000"/>
          <w:sz w:val="20"/>
        </w:rPr>
        <w:t xml:space="preserve">This Form of Proxy is furnished in connection with the solicitation by the board of directors (the </w:t>
      </w:r>
      <w:r>
        <w:rPr>
          <w:rFonts w:ascii="Times New Roman" w:hAnsi="Times New Roman"/>
          <w:color w:val="221E1F"/>
          <w:sz w:val="20"/>
        </w:rPr>
        <w:t>“</w:t>
      </w:r>
      <w:r>
        <w:rPr>
          <w:rFonts w:ascii="Times New Roman" w:hAnsi="Times New Roman"/>
          <w:b/>
          <w:color w:val="000000"/>
          <w:sz w:val="20"/>
        </w:rPr>
        <w:t>Board</w:t>
      </w:r>
      <w:r>
        <w:rPr>
          <w:rFonts w:ascii="Times New Roman" w:hAnsi="Times New Roman"/>
          <w:color w:val="221E1F"/>
          <w:sz w:val="20"/>
        </w:rPr>
        <w:t>”</w:t>
      </w:r>
      <w:r>
        <w:rPr>
          <w:rFonts w:ascii="Times New Roman" w:hAnsi="Times New Roman"/>
          <w:color w:val="000000"/>
          <w:sz w:val="20"/>
        </w:rPr>
        <w:t xml:space="preserve">) of NovaBridge Biosciences, a Cayman Islands exempted company (the </w:t>
      </w:r>
      <w:r>
        <w:rPr>
          <w:rFonts w:ascii="Times New Roman" w:hAnsi="Times New Roman"/>
          <w:color w:val="221E1F"/>
          <w:sz w:val="20"/>
        </w:rPr>
        <w:t>“</w:t>
      </w:r>
      <w:r>
        <w:rPr>
          <w:rFonts w:ascii="Times New Roman" w:hAnsi="Times New Roman"/>
          <w:b/>
          <w:color w:val="000000"/>
          <w:sz w:val="20"/>
        </w:rPr>
        <w:t>Company</w:t>
      </w:r>
      <w:r>
        <w:rPr>
          <w:rFonts w:ascii="Times New Roman" w:hAnsi="Times New Roman"/>
          <w:color w:val="221E1F"/>
          <w:sz w:val="20"/>
        </w:rPr>
        <w:t>”</w:t>
      </w:r>
      <w:r>
        <w:rPr>
          <w:rFonts w:ascii="Times New Roman" w:hAnsi="Times New Roman"/>
          <w:color w:val="000000"/>
          <w:sz w:val="20"/>
        </w:rPr>
        <w:t xml:space="preserve">), of proxies from the holders of the issued ordinary shares of a par value of US$0.0001 each (the </w:t>
      </w:r>
      <w:r>
        <w:rPr>
          <w:rFonts w:ascii="Times New Roman" w:hAnsi="Times New Roman"/>
          <w:color w:val="221E1F"/>
          <w:sz w:val="20"/>
        </w:rPr>
        <w:t>“</w:t>
      </w:r>
      <w:r>
        <w:rPr>
          <w:rFonts w:ascii="Times New Roman" w:hAnsi="Times New Roman"/>
          <w:b/>
          <w:color w:val="000000"/>
          <w:sz w:val="20"/>
        </w:rPr>
        <w:t>Shares</w:t>
      </w:r>
      <w:r>
        <w:rPr>
          <w:rFonts w:ascii="Times New Roman" w:hAnsi="Times New Roman"/>
          <w:color w:val="221E1F"/>
          <w:sz w:val="20"/>
        </w:rPr>
        <w:t>”</w:t>
      </w:r>
      <w:r>
        <w:rPr>
          <w:rFonts w:ascii="Times New Roman" w:hAnsi="Times New Roman"/>
          <w:color w:val="000000"/>
          <w:sz w:val="20"/>
        </w:rPr>
        <w:t xml:space="preserve">) to be exercised at the Annual General Meeting of shareholders of the Company (the </w:t>
      </w:r>
      <w:r>
        <w:rPr>
          <w:rFonts w:ascii="Times New Roman" w:hAnsi="Times New Roman"/>
          <w:color w:val="221E1F"/>
          <w:sz w:val="20"/>
        </w:rPr>
        <w:t>“</w:t>
      </w:r>
      <w:r>
        <w:rPr>
          <w:rFonts w:ascii="Times New Roman" w:hAnsi="Times New Roman"/>
          <w:b/>
          <w:color w:val="000000"/>
          <w:sz w:val="20"/>
        </w:rPr>
        <w:t>Meeting</w:t>
      </w:r>
      <w:r>
        <w:rPr>
          <w:rFonts w:ascii="Times New Roman" w:hAnsi="Times New Roman"/>
          <w:color w:val="221E1F"/>
          <w:sz w:val="20"/>
        </w:rPr>
        <w:t>”</w:t>
      </w:r>
      <w:r>
        <w:rPr>
          <w:rFonts w:ascii="Times New Roman" w:hAnsi="Times New Roman"/>
          <w:color w:val="000000"/>
          <w:sz w:val="20"/>
        </w:rPr>
        <w:t xml:space="preserve">) to be held at NovaBridge Biosciences Shanghai office, 38F, AIA Tower, No. 866 Dongchangzhi Road, Shanghai, China on September 8, 2026 at 10:00 a.m. (Shanghai time), and at any adjournment(s) or postponement(s) thereof, for the purpose set forth in the accompanying Notice of Annual General Meeting (the </w:t>
      </w:r>
      <w:r>
        <w:rPr>
          <w:rFonts w:ascii="Times New Roman" w:hAnsi="Times New Roman"/>
          <w:color w:val="221E1F"/>
          <w:sz w:val="20"/>
        </w:rPr>
        <w:t>“</w:t>
      </w:r>
      <w:r>
        <w:rPr>
          <w:rFonts w:ascii="Times New Roman" w:hAnsi="Times New Roman"/>
          <w:b/>
          <w:color w:val="000000"/>
          <w:sz w:val="20"/>
        </w:rPr>
        <w:t>Meeting Notice</w:t>
      </w:r>
      <w:r>
        <w:rPr>
          <w:rFonts w:ascii="Times New Roman" w:hAnsi="Times New Roman"/>
          <w:color w:val="221E1F"/>
          <w:sz w:val="20"/>
        </w:rPr>
        <w:t>”</w:t>
      </w:r>
      <w:r>
        <w:rPr>
          <w:rFonts w:ascii="Times New Roman" w:hAnsi="Times New Roman"/>
          <w:color w:val="000000"/>
          <w:sz w:val="20"/>
        </w:rPr>
        <w:t xml:space="preserve">). Only the holders of record of the Shares on the Company’s register of members at the close of business on July 27, 2026 (Shanghai time) (the </w:t>
      </w:r>
      <w:r>
        <w:rPr>
          <w:rFonts w:ascii="Times New Roman" w:hAnsi="Times New Roman"/>
          <w:color w:val="221E1F"/>
          <w:sz w:val="20"/>
        </w:rPr>
        <w:t>“</w:t>
      </w:r>
      <w:r>
        <w:rPr>
          <w:rFonts w:ascii="Times New Roman" w:hAnsi="Times New Roman"/>
          <w:b/>
          <w:color w:val="000000"/>
          <w:sz w:val="20"/>
        </w:rPr>
        <w:t>Record Date</w:t>
      </w:r>
      <w:r>
        <w:rPr>
          <w:rFonts w:ascii="Times New Roman" w:hAnsi="Times New Roman"/>
          <w:color w:val="221E1F"/>
          <w:sz w:val="20"/>
        </w:rPr>
        <w:t>”</w:t>
      </w:r>
      <w:r>
        <w:rPr>
          <w:rFonts w:ascii="Times New Roman" w:hAnsi="Times New Roman"/>
          <w:color w:val="000000"/>
          <w:sz w:val="20"/>
        </w:rPr>
        <w:t xml:space="preserve">) are entitled to notice of, to attend and to vote at, the Meeting. Each Share is entitled to one vote on all matters. The quorum of the Meeting is one or more shareholders holding shares which carry in aggregate (or representing by proxy) not less than one-third of all votes attaching to all shares in issue and entitled to vote at such general meeting, present in person or by proxy or, if a corporation or other non-natural person, by its duly authorized representative.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Shares represented by all properly executed proxies returned to the Company will be voted at the Meeting as indicated or, if no instruction is given, the proxy will vote the Shares in his/her discretion, unless a reference to the holder of the proxy having such discretion has been deleted and initialed on this Form of Proxy. Where the chairman of the Meeting acts as proxy and is entitled to exercise his/her discretion, he/she is likely to vote the Shares FOR the resolution. As to any other business that may properly come before the Meeting, all properly executed proxies will be voted by the persons named therein in accordance with their discretion. The Company does not presently know of any other business which may come before the Meeting. However, if any other matter properly comes before the Meeting, or any adjournment(s) or postponement(s) thereof, which may properly be acted upon, unless otherwise indicated the proxies solicited hereby will be voted on such matter in accordance with the discretion of the proxy holders named therein. Any person giving a proxy has the right to revoke it at any time before it is exercised by (i) submitting to the Company, at the address set forth below, a duly signed revocation or (ii) voting in person at the Meeting.</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Holders of Shares may return this proxy by e-mail to </w:t>
      </w:r>
      <w:r>
        <w:rPr>
          <w:rFonts w:ascii="Times New Roman" w:hAnsi="Times New Roman"/>
          <w:b/>
          <w:sz w:val="20"/>
        </w:rPr>
        <w:t>shareholdermeeting@novabridge.com</w:t>
      </w:r>
      <w:r>
        <w:rPr>
          <w:rFonts w:ascii="Times New Roman" w:hAnsi="Times New Roman"/>
          <w:color w:val="000000"/>
          <w:sz w:val="20"/>
        </w:rPr>
        <w:t xml:space="preserve"> </w:t>
      </w:r>
      <w:r>
        <w:rPr>
          <w:rFonts w:ascii="Times New Roman" w:hAnsi="Times New Roman"/>
          <w:b/>
          <w:color w:val="000000"/>
          <w:sz w:val="20"/>
        </w:rPr>
        <w:t>or by mail to the Company’s office at NovaBridge Biosciences Shanghai office, 38F, AIA Tower, No. 866 Dongchangzhi Road, Shanghai, China, so that it is received by the Company no later than 4:00 p.m. (Shanghai time) on September 6, 2026 to ensure your representation at the Meeting.</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NovaBridge Biosciences</w:t>
      </w:r>
    </w:p>
    <w:p>
      <w:pPr>
        <w:pStyle w:val="TextBody"/>
        <w:bidi w:val="0"/>
        <w:jc w:val="center"/>
        <w:rPr>
          <w:rFonts w:ascii="Times New Roman" w:hAnsi="Times New Roman"/>
          <w:i/>
          <w:color w:val="000000"/>
          <w:sz w:val="20"/>
        </w:rPr>
      </w:pPr>
      <w:r>
        <w:rPr>
          <w:rFonts w:ascii="Times New Roman" w:hAnsi="Times New Roman"/>
          <w:i/>
          <w:color w:val="000000"/>
          <w:sz w:val="20"/>
        </w:rPr>
        <w:t>(Incorporated in the Cayman Islands with limited liability)</w:t>
      </w:r>
    </w:p>
    <w:p>
      <w:pPr>
        <w:pStyle w:val="TextBody"/>
        <w:bidi w:val="0"/>
        <w:spacing w:before="30" w:after="120"/>
        <w:jc w:val="center"/>
        <w:rPr>
          <w:rFonts w:ascii="Times New Roman" w:hAnsi="Times New Roman"/>
          <w:color w:val="000000"/>
          <w:sz w:val="20"/>
        </w:rPr>
      </w:pPr>
      <w:r>
        <w:rPr>
          <w:rFonts w:ascii="Times New Roman" w:hAnsi="Times New Roman"/>
          <w:color w:val="000000"/>
          <w:sz w:val="20"/>
        </w:rPr>
        <w:t>(Nasdaq: NBP)</w:t>
      </w:r>
    </w:p>
    <w:p>
      <w:pPr>
        <w:pStyle w:val="TextBody"/>
        <w:bidi w:val="0"/>
        <w:spacing w:before="0" w:after="200"/>
        <w:jc w:val="center"/>
        <w:rPr/>
      </w:pPr>
      <w:r>
        <w:rPr/>
        <w:drawing>
          <wp:inline distT="0" distB="0" distL="0" distR="0">
            <wp:extent cx="1095375"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95375" cy="14605"/>
                    </a:xfrm>
                    <a:prstGeom prst="rect">
                      <a:avLst/>
                    </a:prstGeom>
                  </pic:spPr>
                </pic:pic>
              </a:graphicData>
            </a:graphic>
          </wp:inline>
        </w:drawing>
      </w:r>
    </w:p>
    <w:p>
      <w:pPr>
        <w:pStyle w:val="TextBody"/>
        <w:bidi w:val="0"/>
        <w:spacing w:before="0" w:after="80"/>
        <w:jc w:val="center"/>
        <w:rPr>
          <w:rFonts w:ascii="Times New Roman" w:hAnsi="Times New Roman"/>
          <w:b/>
          <w:color w:val="000000"/>
          <w:sz w:val="23"/>
        </w:rPr>
      </w:pPr>
      <w:r>
        <w:rPr>
          <w:rFonts w:ascii="Times New Roman" w:hAnsi="Times New Roman"/>
          <w:b/>
          <w:color w:val="000000"/>
          <w:sz w:val="23"/>
        </w:rPr>
        <w:t>Form of Proxy for Annual General Meeting</w:t>
      </w:r>
    </w:p>
    <w:p>
      <w:pPr>
        <w:pStyle w:val="TextBody"/>
        <w:bidi w:val="0"/>
        <w:jc w:val="center"/>
        <w:rPr>
          <w:rFonts w:ascii="Times New Roman" w:hAnsi="Times New Roman"/>
          <w:color w:val="000000"/>
          <w:sz w:val="20"/>
        </w:rPr>
      </w:pPr>
      <w:r>
        <w:rPr>
          <w:rFonts w:ascii="Times New Roman" w:hAnsi="Times New Roman"/>
          <w:color w:val="000000"/>
          <w:sz w:val="20"/>
        </w:rPr>
        <w:t>to be held on September 8, 2026</w:t>
      </w:r>
    </w:p>
    <w:p>
      <w:pPr>
        <w:pStyle w:val="TextBody"/>
        <w:bidi w:val="0"/>
        <w:spacing w:before="0" w:after="360"/>
        <w:jc w:val="center"/>
        <w:rPr>
          <w:rFonts w:ascii="Times New Roman" w:hAnsi="Times New Roman"/>
          <w:color w:val="000000"/>
          <w:sz w:val="20"/>
        </w:rPr>
      </w:pPr>
      <w:r>
        <w:rPr>
          <w:rFonts w:ascii="Times New Roman" w:hAnsi="Times New Roman"/>
          <w:color w:val="000000"/>
          <w:sz w:val="20"/>
        </w:rPr>
        <w:t>(or any adjournment(s) or postponement(s) thereof)</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I/We </w:t>
      </w:r>
      <w:r>
        <w:rPr>
          <w:rFonts w:ascii="Times New Roman" w:hAnsi="Times New Roman"/>
          <w:i/>
          <w:color w:val="000000"/>
          <w:sz w:val="17"/>
        </w:rPr>
        <w:t>______________</w:t>
      </w:r>
      <w:r>
        <w:rPr>
          <w:rFonts w:ascii="Times New Roman" w:hAnsi="Times New Roman"/>
          <w:color w:val="000000"/>
          <w:sz w:val="20"/>
        </w:rPr>
        <w:t xml:space="preserve"> of </w:t>
      </w:r>
      <w:r>
        <w:rPr>
          <w:rFonts w:ascii="Times New Roman" w:hAnsi="Times New Roman"/>
          <w:i/>
          <w:color w:val="000000"/>
          <w:sz w:val="17"/>
        </w:rPr>
        <w:t>______________________________________________________________________</w:t>
      </w:r>
      <w:r>
        <w:rPr>
          <w:rFonts w:ascii="Times New Roman" w:hAnsi="Times New Roman"/>
          <w:color w:val="000000"/>
          <w:sz w:val="20"/>
        </w:rPr>
        <w:t xml:space="preserve">, being the registered holder of </w:t>
      </w:r>
      <w:r>
        <w:rPr>
          <w:rFonts w:ascii="Times New Roman" w:hAnsi="Times New Roman"/>
          <w:i/>
          <w:color w:val="000000"/>
          <w:sz w:val="17"/>
        </w:rPr>
        <w:t xml:space="preserve">_________________________________________ </w:t>
      </w:r>
      <w:r>
        <w:rPr>
          <w:rFonts w:ascii="Times New Roman" w:hAnsi="Times New Roman"/>
          <w:color w:val="000000"/>
          <w:sz w:val="20"/>
        </w:rPr>
        <w:t xml:space="preserve">ordinary shares </w:t>
      </w:r>
      <w:r>
        <w:rPr>
          <w:rFonts w:ascii="Times New Roman" w:hAnsi="Times New Roman"/>
          <w:i/>
          <w:color w:val="000000"/>
          <w:sz w:val="13"/>
        </w:rPr>
        <w:t>(Note 1)</w:t>
      </w:r>
      <w:r>
        <w:rPr>
          <w:rFonts w:ascii="Times New Roman" w:hAnsi="Times New Roman"/>
          <w:color w:val="000000"/>
          <w:sz w:val="20"/>
        </w:rPr>
        <w:t xml:space="preserve"> of a par value of US$0.0001 each of NovaBridge Biosciences (the </w:t>
      </w:r>
      <w:r>
        <w:rPr>
          <w:rFonts w:ascii="Times New Roman" w:hAnsi="Times New Roman"/>
          <w:color w:val="221E1F"/>
          <w:sz w:val="20"/>
        </w:rPr>
        <w:t>“</w:t>
      </w:r>
      <w:r>
        <w:rPr>
          <w:rFonts w:ascii="Times New Roman" w:hAnsi="Times New Roman"/>
          <w:color w:val="000000"/>
          <w:sz w:val="20"/>
        </w:rPr>
        <w:t>Company</w:t>
      </w:r>
      <w:r>
        <w:rPr>
          <w:rFonts w:ascii="Times New Roman" w:hAnsi="Times New Roman"/>
          <w:color w:val="221E1F"/>
          <w:sz w:val="20"/>
        </w:rPr>
        <w:t>”</w:t>
      </w:r>
      <w:r>
        <w:rPr>
          <w:rFonts w:ascii="Times New Roman" w:hAnsi="Times New Roman"/>
          <w:color w:val="000000"/>
          <w:sz w:val="20"/>
        </w:rPr>
        <w:t xml:space="preserve">), hereby appoint the Chairman of the Annual General Meeting </w:t>
      </w:r>
      <w:r>
        <w:rPr>
          <w:rFonts w:ascii="Times New Roman" w:hAnsi="Times New Roman"/>
          <w:i/>
          <w:color w:val="000000"/>
          <w:sz w:val="13"/>
        </w:rPr>
        <w:t>(Note 2)</w:t>
      </w:r>
      <w:r>
        <w:rPr>
          <w:rFonts w:ascii="Times New Roman" w:hAnsi="Times New Roman"/>
          <w:color w:val="000000"/>
          <w:sz w:val="20"/>
        </w:rPr>
        <w:t xml:space="preserve"> or </w:t>
      </w:r>
      <w:r>
        <w:rPr>
          <w:rFonts w:ascii="Times New Roman" w:hAnsi="Times New Roman"/>
          <w:i/>
          <w:color w:val="000000"/>
          <w:sz w:val="17"/>
        </w:rPr>
        <w:t>_______</w:t>
      </w:r>
      <w:r>
        <w:rPr>
          <w:rFonts w:ascii="Times New Roman" w:hAnsi="Times New Roman"/>
          <w:color w:val="000000"/>
          <w:sz w:val="20"/>
        </w:rPr>
        <w:t xml:space="preserve"> of </w:t>
      </w:r>
      <w:r>
        <w:rPr>
          <w:rFonts w:ascii="Times New Roman" w:hAnsi="Times New Roman"/>
          <w:i/>
          <w:color w:val="000000"/>
          <w:sz w:val="17"/>
        </w:rPr>
        <w:t>______________________</w:t>
      </w:r>
      <w:r>
        <w:rPr>
          <w:rFonts w:ascii="Times New Roman" w:hAnsi="Times New Roman"/>
          <w:color w:val="000000"/>
          <w:sz w:val="20"/>
        </w:rPr>
        <w:t xml:space="preserve"> as my/our proxy to attend and act for me/us at the Annual General Meeting of the Company to be held at NovaBridge Biosciences Shanghai office, 38F, AIA Tower, No. 866 Dongchangzhi Road, Shanghai, China on September 8, 2026 at 10:00 a.m. (Shanghai time), and at any adjournment(s) or postponement(s) thereof, and in the event of a poll, to vote for me/us as indicated below, or if no such indication is given, as my/our proxy thinks fit. </w:t>
      </w:r>
      <w:r>
        <w:rPr>
          <w:rFonts w:ascii="Times New Roman" w:hAnsi="Times New Roman"/>
          <w:i/>
          <w:color w:val="000000"/>
          <w:sz w:val="13"/>
        </w:rPr>
        <w:t>(Note 3)</w:t>
      </w:r>
    </w:p>
    <w:tbl>
      <w:tblPr>
        <w:tblW w:w="10205" w:type="dxa"/>
        <w:jc w:val="left"/>
        <w:tblInd w:w="0" w:type="dxa"/>
        <w:tblLayout w:type="fixed"/>
        <w:tblCellMar>
          <w:top w:w="28" w:type="dxa"/>
          <w:left w:w="28" w:type="dxa"/>
          <w:bottom w:w="28" w:type="dxa"/>
          <w:right w:w="28" w:type="dxa"/>
        </w:tblCellMar>
      </w:tblPr>
      <w:tblGrid>
        <w:gridCol w:w="7498"/>
        <w:gridCol w:w="582"/>
        <w:gridCol w:w="1047"/>
        <w:gridCol w:w="1078"/>
      </w:tblGrid>
      <w:tr>
        <w:trPr/>
        <w:tc>
          <w:tcPr>
            <w:tcW w:w="7498" w:type="dxa"/>
            <w:tcBorders/>
            <w:shd w:fill="FFFFFF" w:val="clear"/>
            <w:vAlign w:val="center"/>
          </w:tcPr>
          <w:p>
            <w:pPr>
              <w:pStyle w:val="TableContents"/>
              <w:bidi w:val="0"/>
              <w:spacing w:before="0" w:after="283"/>
              <w:jc w:val="left"/>
              <w:rPr>
                <w:sz w:val="4"/>
                <w:szCs w:val="4"/>
              </w:rPr>
            </w:pPr>
            <w:r>
              <w:rPr>
                <w:sz w:val="4"/>
                <w:szCs w:val="4"/>
              </w:rPr>
            </w:r>
          </w:p>
        </w:tc>
        <w:tc>
          <w:tcPr>
            <w:tcW w:w="582" w:type="dxa"/>
            <w:tcBorders/>
            <w:shd w:fill="FFFFFF" w:val="clear"/>
            <w:vAlign w:val="center"/>
          </w:tcPr>
          <w:p>
            <w:pPr>
              <w:pStyle w:val="TableContents"/>
              <w:bidi w:val="0"/>
              <w:spacing w:before="0" w:after="283"/>
              <w:jc w:val="left"/>
              <w:rPr>
                <w:sz w:val="4"/>
                <w:szCs w:val="4"/>
              </w:rPr>
            </w:pPr>
            <w:r>
              <w:rPr>
                <w:sz w:val="4"/>
                <w:szCs w:val="4"/>
              </w:rPr>
            </w:r>
          </w:p>
        </w:tc>
        <w:tc>
          <w:tcPr>
            <w:tcW w:w="1047" w:type="dxa"/>
            <w:tcBorders/>
            <w:shd w:fill="FFFFFF" w:val="clear"/>
            <w:vAlign w:val="center"/>
          </w:tcPr>
          <w:p>
            <w:pPr>
              <w:pStyle w:val="TableContents"/>
              <w:bidi w:val="0"/>
              <w:spacing w:before="0" w:after="283"/>
              <w:jc w:val="left"/>
              <w:rPr>
                <w:sz w:val="4"/>
                <w:szCs w:val="4"/>
              </w:rPr>
            </w:pPr>
            <w:r>
              <w:rPr>
                <w:sz w:val="4"/>
                <w:szCs w:val="4"/>
              </w:rPr>
            </w:r>
          </w:p>
        </w:tc>
        <w:tc>
          <w:tcPr>
            <w:tcW w:w="1078" w:type="dxa"/>
            <w:tcBorders/>
            <w:shd w:fill="FFFFFF" w:val="clear"/>
            <w:vAlign w:val="center"/>
          </w:tcPr>
          <w:p>
            <w:pPr>
              <w:pStyle w:val="TableContents"/>
              <w:bidi w:val="0"/>
              <w:spacing w:before="0" w:after="283"/>
              <w:jc w:val="left"/>
              <w:rPr>
                <w:sz w:val="4"/>
                <w:szCs w:val="4"/>
              </w:rPr>
            </w:pPr>
            <w:r>
              <w:rPr>
                <w:sz w:val="4"/>
                <w:szCs w:val="4"/>
              </w:rPr>
            </w:r>
          </w:p>
        </w:tc>
      </w:tr>
      <w:tr>
        <w:trPr/>
        <w:tc>
          <w:tcPr>
            <w:tcW w:w="749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RESOLUTIONS</w:t>
            </w:r>
          </w:p>
        </w:tc>
        <w:tc>
          <w:tcPr>
            <w:tcW w:w="58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FOR</w:t>
            </w:r>
            <w:r>
              <w:rPr>
                <w:rFonts w:ascii="Times New Roman" w:hAnsi="Times New Roman"/>
                <w:color w:val="000000"/>
                <w:sz w:val="18"/>
              </w:rPr>
              <w:t xml:space="preserve"> </w:t>
            </w:r>
            <w:r>
              <w:rPr>
                <w:rFonts w:ascii="Times New Roman" w:hAnsi="Times New Roman"/>
                <w:i/>
                <w:color w:val="000000"/>
                <w:sz w:val="12"/>
              </w:rPr>
              <w:t>(Note 3)</w:t>
            </w:r>
          </w:p>
        </w:tc>
        <w:tc>
          <w:tcPr>
            <w:tcW w:w="10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AGAINST</w:t>
            </w:r>
            <w:r>
              <w:rPr>
                <w:rFonts w:ascii="Times New Roman" w:hAnsi="Times New Roman"/>
                <w:color w:val="000000"/>
                <w:sz w:val="18"/>
              </w:rPr>
              <w:t xml:space="preserve"> </w:t>
            </w:r>
            <w:r>
              <w:rPr>
                <w:rFonts w:ascii="Times New Roman" w:hAnsi="Times New Roman"/>
                <w:i/>
                <w:color w:val="000000"/>
                <w:sz w:val="12"/>
              </w:rPr>
              <w:t>(Note 3)</w:t>
            </w:r>
          </w:p>
        </w:tc>
        <w:tc>
          <w:tcPr>
            <w:tcW w:w="107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ABSTAIN</w:t>
            </w:r>
            <w:r>
              <w:rPr>
                <w:rFonts w:ascii="Times New Roman" w:hAnsi="Times New Roman"/>
                <w:color w:val="000000"/>
                <w:sz w:val="18"/>
              </w:rPr>
              <w:t xml:space="preserve"> </w:t>
            </w:r>
            <w:r>
              <w:rPr>
                <w:rFonts w:ascii="Times New Roman" w:hAnsi="Times New Roman"/>
                <w:i/>
                <w:color w:val="000000"/>
                <w:sz w:val="12"/>
              </w:rPr>
              <w:t>(Note 3)</w:t>
            </w:r>
          </w:p>
        </w:tc>
      </w:tr>
      <w:tr>
        <w:trPr/>
        <w:tc>
          <w:tcPr>
            <w:tcW w:w="7498"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AS AN ORDINARY RESOLUTION:</w:t>
            </w:r>
          </w:p>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THAT Ms. Xin Liu be removed from her position as a director of the Company with immediate effect upon passing of this resolution, and each director of the Company be and is hereby authorized to take any and every action that might be necessary in relation to the foregoing resolution as such director, in his or her absolute discretion, thinks fit.</w:t>
            </w:r>
          </w:p>
        </w:tc>
        <w:tc>
          <w:tcPr>
            <w:tcW w:w="5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0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107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spacing w:before="200" w:after="240"/>
        <w:jc w:val="both"/>
        <w:rPr/>
      </w:pPr>
      <w:r>
        <w:rPr/>
        <w:t> </w:t>
      </w:r>
    </w:p>
    <w:p>
      <w:pPr>
        <w:pStyle w:val="TextBody"/>
        <w:bidi w:val="0"/>
        <w:spacing w:before="0" w:after="80"/>
        <w:jc w:val="left"/>
        <w:rPr>
          <w:rFonts w:ascii="Times New Roman" w:hAnsi="Times New Roman"/>
          <w:sz w:val="20"/>
        </w:rPr>
      </w:pPr>
      <w:r>
        <w:rPr>
          <w:rFonts w:ascii="Times New Roman" w:hAnsi="Times New Roman"/>
          <w:color w:val="000000"/>
          <w:sz w:val="20"/>
        </w:rPr>
        <w:t xml:space="preserve">Dated </w:t>
      </w:r>
      <w:r>
        <w:rPr>
          <w:rFonts w:ascii="Times New Roman" w:hAnsi="Times New Roman"/>
          <w:i/>
          <w:color w:val="000000"/>
          <w:sz w:val="17"/>
        </w:rPr>
        <w:t>______________</w:t>
      </w:r>
      <w:r>
        <w:rPr>
          <w:rFonts w:ascii="Times New Roman" w:hAnsi="Times New Roman"/>
          <w:color w:val="000000"/>
          <w:sz w:val="20"/>
        </w:rPr>
        <w:t xml:space="preserve">, 2026 Signature(s) </w:t>
      </w:r>
      <w:r>
        <w:rPr>
          <w:rFonts w:ascii="Times New Roman" w:hAnsi="Times New Roman"/>
          <w:i/>
          <w:color w:val="000000"/>
          <w:sz w:val="13"/>
        </w:rPr>
        <w:t xml:space="preserve">(Note 4) </w:t>
      </w:r>
      <w:r>
        <w:rPr>
          <w:rFonts w:ascii="Times New Roman" w:hAnsi="Times New Roman"/>
          <w:i/>
          <w:color w:val="000000"/>
          <w:sz w:val="17"/>
        </w:rPr>
        <w:t>____________________________</w:t>
      </w:r>
    </w:p>
    <w:p>
      <w:pPr>
        <w:pStyle w:val="TextBody"/>
        <w:bidi w:val="0"/>
        <w:spacing w:before="0" w:after="80"/>
        <w:jc w:val="left"/>
        <w:rPr>
          <w:rFonts w:ascii="Times New Roman" w:hAnsi="Times New Roman"/>
          <w:i/>
          <w:color w:val="000000"/>
          <w:sz w:val="17"/>
        </w:rPr>
      </w:pPr>
      <w:r>
        <w:rPr>
          <w:rFonts w:ascii="Times New Roman" w:hAnsi="Times New Roman"/>
          <w:i/>
          <w:color w:val="000000"/>
          <w:sz w:val="17"/>
        </w:rPr>
        <w:t>______________</w:t>
      </w:r>
    </w:p>
    <w:p>
      <w:pPr>
        <w:pStyle w:val="TextBody"/>
        <w:bidi w:val="0"/>
        <w:spacing w:before="0" w:after="80"/>
        <w:jc w:val="left"/>
        <w:rPr>
          <w:rFonts w:ascii="Times New Roman" w:hAnsi="Times New Roman"/>
          <w:i/>
          <w:color w:val="000000"/>
          <w:sz w:val="17"/>
        </w:rPr>
      </w:pPr>
      <w:r>
        <w:rPr>
          <w:rFonts w:ascii="Times New Roman" w:hAnsi="Times New Roman"/>
          <w:i/>
          <w:color w:val="000000"/>
          <w:sz w:val="17"/>
        </w:rPr>
        <w:t>Notes:</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1.</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Please insert the number of ordinary shares registered in your name(s) to which this proxy relates. If no number is inserted, this form of proxy will be deemed to relate to all the ordinary shares in the Company registered in your name(s).</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2.</w:t>
      </w:r>
    </w:p>
    <w:p>
      <w:pPr>
        <w:pStyle w:val="TextBody"/>
        <w:bidi w:val="0"/>
        <w:spacing w:before="0" w:after="120"/>
        <w:jc w:val="both"/>
        <w:rPr/>
      </w:pPr>
      <w:r>
        <w:rPr>
          <w:rFonts w:ascii="Times New Roman" w:hAnsi="Times New Roman"/>
          <w:color w:val="000000"/>
          <w:sz w:val="17"/>
        </w:rPr>
        <w:t xml:space="preserve">If any proxy other than the Chairman is preferred, strike out the words </w:t>
      </w:r>
      <w:r>
        <w:rPr>
          <w:color w:val="221E1F"/>
        </w:rPr>
        <w:t>“</w:t>
      </w:r>
      <w:r>
        <w:rPr>
          <w:rFonts w:ascii="Times New Roman" w:hAnsi="Times New Roman"/>
          <w:b/>
          <w:color w:val="000000"/>
          <w:sz w:val="17"/>
        </w:rPr>
        <w:t>THE CHAIRMAN OF THE ANNUAL GENERAL MEETING</w:t>
      </w:r>
      <w:r>
        <w:rPr>
          <w:color w:val="221E1F"/>
        </w:rPr>
        <w:t>”</w:t>
      </w:r>
      <w:r>
        <w:rPr>
          <w:color w:val="000000"/>
        </w:rPr>
        <w:t xml:space="preserve"> </w:t>
      </w:r>
      <w:r>
        <w:rPr>
          <w:rFonts w:ascii="Times New Roman" w:hAnsi="Times New Roman"/>
          <w:color w:val="000000"/>
          <w:sz w:val="17"/>
        </w:rPr>
        <w:t xml:space="preserve">and insert the name and address of the proxy desired in the space provided. A member may appoint one or more proxies to attend and vote in his/her stead. </w:t>
      </w:r>
      <w:r>
        <w:rPr>
          <w:rFonts w:ascii="Times New Roman" w:hAnsi="Times New Roman"/>
          <w:b/>
          <w:color w:val="000000"/>
          <w:sz w:val="17"/>
        </w:rPr>
        <w:t>ANY ALTERATION MADE TO THIS FORM OF PROXY MUST BE INITIALED BY THE PERSON(S) WHO SIGN(S) IT.</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3.</w:t>
      </w:r>
    </w:p>
    <w:p>
      <w:pPr>
        <w:pStyle w:val="TextBody"/>
        <w:bidi w:val="0"/>
        <w:spacing w:before="0" w:after="120"/>
        <w:jc w:val="both"/>
        <w:rPr/>
      </w:pPr>
      <w:r>
        <w:rPr>
          <w:rFonts w:ascii="Times New Roman" w:hAnsi="Times New Roman"/>
          <w:b/>
          <w:color w:val="000000"/>
          <w:sz w:val="17"/>
        </w:rPr>
        <w:t xml:space="preserve">IMPORTANT: IF YOU WISH TO VOTE FOR THE RESOLUTION, TICK THE APPROPRIATE BOX MARKED </w:t>
      </w:r>
      <w:r>
        <w:rPr>
          <w:color w:val="221E1F"/>
        </w:rPr>
        <w:t>“</w:t>
      </w:r>
      <w:r>
        <w:rPr>
          <w:rFonts w:ascii="Times New Roman" w:hAnsi="Times New Roman"/>
          <w:b/>
          <w:color w:val="000000"/>
          <w:sz w:val="17"/>
        </w:rPr>
        <w:t>FOR.</w:t>
      </w:r>
      <w:r>
        <w:rPr>
          <w:color w:val="221E1F"/>
        </w:rPr>
        <w:t>”</w:t>
      </w:r>
      <w:r>
        <w:rPr>
          <w:color w:val="000000"/>
        </w:rPr>
        <w:t xml:space="preserve"> </w:t>
      </w:r>
      <w:r>
        <w:rPr>
          <w:rFonts w:ascii="Times New Roman" w:hAnsi="Times New Roman"/>
          <w:b/>
          <w:color w:val="000000"/>
          <w:sz w:val="17"/>
        </w:rPr>
        <w:t xml:space="preserve">IF YOU WISH TO VOTE AGAINST THE RESOLUTION, TICK THE APPROPRIATE BOX MARKED </w:t>
      </w:r>
      <w:r>
        <w:rPr>
          <w:color w:val="221E1F"/>
        </w:rPr>
        <w:t>“</w:t>
      </w:r>
      <w:r>
        <w:rPr>
          <w:rFonts w:ascii="Times New Roman" w:hAnsi="Times New Roman"/>
          <w:b/>
          <w:color w:val="000000"/>
          <w:sz w:val="17"/>
        </w:rPr>
        <w:t>AGAINST.</w:t>
      </w:r>
      <w:r>
        <w:rPr>
          <w:color w:val="221E1F"/>
        </w:rPr>
        <w:t xml:space="preserve">” </w:t>
      </w:r>
      <w:r>
        <w:rPr>
          <w:rFonts w:ascii="Times New Roman" w:hAnsi="Times New Roman"/>
          <w:b/>
          <w:color w:val="000000"/>
          <w:sz w:val="17"/>
        </w:rPr>
        <w:t xml:space="preserve">IF YOU WISH TO ABSTAIN FROM VOTING ON THE RESOLUTION, TICK THE BOX MARKED </w:t>
      </w:r>
      <w:r>
        <w:rPr>
          <w:color w:val="221E1F"/>
        </w:rPr>
        <w:t>“</w:t>
      </w:r>
      <w:r>
        <w:rPr>
          <w:rFonts w:ascii="Times New Roman" w:hAnsi="Times New Roman"/>
          <w:b/>
          <w:color w:val="000000"/>
          <w:sz w:val="17"/>
        </w:rPr>
        <w:t>ABSTAIN.</w:t>
      </w:r>
      <w:r>
        <w:rPr>
          <w:color w:val="221E1F"/>
        </w:rPr>
        <w:t>”</w:t>
      </w:r>
      <w:r>
        <w:rPr>
          <w:color w:val="000000"/>
        </w:rPr>
        <w:t xml:space="preserve"> </w:t>
      </w:r>
      <w:r>
        <w:rPr>
          <w:rFonts w:ascii="Times New Roman" w:hAnsi="Times New Roman"/>
          <w:color w:val="000000"/>
          <w:sz w:val="17"/>
        </w:rPr>
        <w:t>Failure to complete any or all the boxes will entitle your proxy to cast his or her votes at his or her discretion. A proxy need not be a member of the Company, but must attend the Meeting in person. A member may only have one form of proxy valid at any one time. Completion and deposit of a form of proxy does not prevent a member from attending the Meeting in person but if a member attends the Meeting and votes, this proxy will be revoked.</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4.</w:t>
      </w:r>
    </w:p>
    <w:p>
      <w:pPr>
        <w:pStyle w:val="TextBody"/>
        <w:bidi w:val="0"/>
        <w:spacing w:before="0" w:after="120"/>
        <w:jc w:val="both"/>
        <w:rPr>
          <w:rFonts w:ascii="Times New Roman" w:hAnsi="Times New Roman"/>
          <w:color w:val="000000"/>
          <w:sz w:val="17"/>
        </w:rPr>
      </w:pPr>
      <w:r>
        <w:rPr>
          <w:rFonts w:ascii="Times New Roman" w:hAnsi="Times New Roman"/>
          <w:color w:val="000000"/>
          <w:sz w:val="17"/>
        </w:rPr>
        <w:t>This form of proxy must be signed by you or your attorney duly authorized in writing or, in the case of a corporation, must be either executed under its seal or under the hand of an officer or attorney or other person duly authorized to sign the same.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nbp-ex99_4.htm"/>
      <w:bookmarkStart w:id="11" w:name="ksnbpex99_4"/>
      <w:bookmarkEnd w:id="10"/>
      <w:bookmarkEnd w:id="11"/>
      <w:r>
        <w:rPr>
          <w:rFonts w:ascii="Times New Roman" w:hAnsi="Times New Roman"/>
          <w:b/>
          <w:color w:val="000000"/>
          <w:sz w:val="20"/>
        </w:rPr>
        <w:t>Exhibit 99.4</w:t>
      </w:r>
      <w:r>
        <w:br w:type="page"/>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pBdr>
          <w:bottom w:val="single" w:sz="12" w:space="1" w:color="000000"/>
        </w:pBdr>
        <w:bidi w:val="0"/>
        <w:jc w:val="left"/>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Annual General Meeting of Shareholders</w:t>
      </w:r>
    </w:p>
    <w:p>
      <w:pPr>
        <w:pStyle w:val="TextBody"/>
        <w:pBdr>
          <w:bottom w:val="single" w:sz="12" w:space="1" w:color="000000"/>
        </w:pBdr>
        <w:bidi w:val="0"/>
        <w:jc w:val="center"/>
        <w:rPr/>
      </w:pPr>
      <w:r>
        <w:rPr/>
        <w:t> </w:t>
      </w:r>
    </w:p>
    <w:p>
      <w:pPr>
        <w:pStyle w:val="TextBody"/>
        <w:bidi w:val="0"/>
        <w:spacing w:before="60" w:after="283"/>
        <w:jc w:val="center"/>
        <w:rPr>
          <w:rFonts w:ascii="Times New Roman" w:hAnsi="Times New Roman"/>
          <w:b/>
          <w:i/>
          <w:color w:val="000000"/>
          <w:sz w:val="14"/>
        </w:rPr>
      </w:pPr>
      <w:r>
        <w:rPr>
          <w:rFonts w:ascii="Times New Roman" w:hAnsi="Times New Roman"/>
          <w:b/>
          <w:i/>
          <w:color w:val="000000"/>
          <w:sz w:val="14"/>
        </w:rPr>
        <w:t>The Voting Instructions must be signed, completed and received at the indicated address prior to 10:00 A.M. (Eastern Time) on September 1, 2026 for action to be taken.</w:t>
      </w:r>
    </w:p>
    <w:p>
      <w:pPr>
        <w:pStyle w:val="TextBody"/>
        <w:bidi w:val="0"/>
        <w:jc w:val="center"/>
        <w:rPr/>
      </w:pPr>
      <w:r>
        <w:rPr/>
        <w:t> </w:t>
      </w:r>
    </w:p>
    <w:tbl>
      <w:tblPr>
        <w:tblW w:w="4483" w:type="dxa"/>
        <w:jc w:val="left"/>
        <w:tblInd w:w="0" w:type="dxa"/>
        <w:tblLayout w:type="fixed"/>
        <w:tblCellMar>
          <w:top w:w="28" w:type="dxa"/>
          <w:left w:w="28" w:type="dxa"/>
          <w:bottom w:w="28" w:type="dxa"/>
          <w:right w:w="28" w:type="dxa"/>
        </w:tblCellMar>
      </w:tblPr>
      <w:tblGrid>
        <w:gridCol w:w="2026"/>
        <w:gridCol w:w="146"/>
        <w:gridCol w:w="231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2026 VOTING INSTRUCTIONS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11" w:type="dxa"/>
            <w:tcBorders/>
            <w:tcMar>
              <w:top w:w="0" w:type="dxa"/>
              <w:left w:w="0" w:type="dxa"/>
              <w:bottom w:w="0" w:type="dxa"/>
              <w:right w:w="0" w:type="dxa"/>
            </w:tcMar>
            <w:vAlign w:val="center"/>
          </w:tcPr>
          <w:p>
            <w:pPr>
              <w:pStyle w:val="Heading2"/>
              <w:bidi w:val="0"/>
              <w:spacing w:before="200" w:after="120"/>
              <w:jc w:val="right"/>
              <w:rPr>
                <w:rFonts w:ascii="Times New Roman" w:hAnsi="Times New Roman"/>
                <w:color w:val="000000"/>
                <w:sz w:val="14"/>
              </w:rPr>
            </w:pPr>
            <w:r>
              <w:rPr>
                <w:rFonts w:ascii="Times New Roman" w:hAnsi="Times New Roman"/>
                <w:color w:val="000000"/>
                <w:sz w:val="14"/>
              </w:rPr>
              <w:t>AMERICAN DEPOSITARY SHARES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50"/>
        <w:gridCol w:w="146"/>
        <w:gridCol w:w="8709"/>
      </w:tblGrid>
      <w:tr>
        <w:trPr/>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NovaBridge Biosciences (the “</w:t>
            </w:r>
            <w:r>
              <w:rPr>
                <w:rFonts w:ascii="Times New Roman" w:hAnsi="Times New Roman"/>
                <w:b/>
                <w:color w:val="000000"/>
                <w:sz w:val="22"/>
                <w:u w:val="single"/>
              </w:rPr>
              <w:t>Company</w:t>
            </w:r>
            <w:r>
              <w:rPr>
                <w:rFonts w:ascii="Times New Roman" w:hAnsi="Times New Roman"/>
                <w:color w:val="000000"/>
                <w:sz w:val="22"/>
              </w:rPr>
              <w:t>”</w:t>
            </w:r>
            <w:r>
              <w:rPr>
                <w:rFonts w:ascii="Times New Roman" w:hAnsi="Times New Roman"/>
                <w:b/>
                <w:color w:val="000000"/>
                <w:sz w:val="22"/>
              </w:rPr>
              <w:t>)</w:t>
            </w:r>
          </w:p>
        </w:tc>
      </w:tr>
      <w:tr>
        <w:trPr/>
        <w:tc>
          <w:tcPr>
            <w:tcW w:w="135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CUSIP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44975P103.</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27, 2026 (New York time).</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Meeting Specifics: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Annual General Meeting to be held at 10:00 a.m. (Shanghai time) on September 8, 2026 at NovaBridge Biosciences Shanghai office, 38F, AIA Tower, No. 866 Dongchangzhi Road, Shanghai, China (the “</w:t>
            </w:r>
            <w:r>
              <w:rPr>
                <w:rFonts w:ascii="Times New Roman" w:hAnsi="Times New Roman"/>
                <w:color w:val="000000"/>
                <w:sz w:val="20"/>
                <w:u w:val="single"/>
              </w:rPr>
              <w:t>Meeting</w:t>
            </w:r>
            <w:r>
              <w:rPr>
                <w:rFonts w:ascii="Times New Roman" w:hAnsi="Times New Roman"/>
                <w:color w:val="000000"/>
                <w:sz w:val="20"/>
              </w:rPr>
              <w:t>”).</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Meeting Agenda: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Please refer to the Company’s Notice of Meeting enclosed herewith. The Company's Notice of Meeting and other relevant documents are posted on the investor section of the Company's website </w:t>
            </w:r>
            <w:r>
              <w:rPr>
                <w:rFonts w:ascii="Times New Roman" w:hAnsi="Times New Roman"/>
                <w:sz w:val="20"/>
              </w:rPr>
              <w:t>https://www.novabridge.com.</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Depositary: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Citibank, N.A.</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 Agreement: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 Agreement, dated as of January 22, 2020.</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Ordinary shares, nominal value US$0.0001 per share, of the Company (the "</w:t>
            </w:r>
            <w:r>
              <w:rPr>
                <w:rFonts w:ascii="Times New Roman" w:hAnsi="Times New Roman"/>
                <w:color w:val="000000"/>
                <w:sz w:val="20"/>
                <w:u w:val="single"/>
              </w:rPr>
              <w:t>Shares</w:t>
            </w:r>
            <w:r>
              <w:rPr>
                <w:rFonts w:ascii="Times New Roman" w:hAnsi="Times New Roman"/>
                <w:color w:val="000000"/>
                <w:sz w:val="20"/>
              </w:rPr>
              <w:t xml:space="preserve">"). </w:t>
            </w:r>
          </w:p>
        </w:tc>
      </w:tr>
      <w:tr>
        <w:trPr/>
        <w:tc>
          <w:tcPr>
            <w:tcW w:w="13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Custodian: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Citibank, N.A. - Hong Kong.</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2"/>
        </w:rPr>
        <w:t>You as the undersigned holder, as of the ADS Record Date, of the American Depositary Share(s) issued under the Deposit Agreement (“</w:t>
      </w:r>
      <w:r>
        <w:rPr>
          <w:rFonts w:ascii="Times New Roman" w:hAnsi="Times New Roman"/>
          <w:color w:val="000000"/>
          <w:sz w:val="12"/>
          <w:u w:val="single"/>
        </w:rPr>
        <w:t>ADSs</w:t>
      </w:r>
      <w:r>
        <w:rPr>
          <w:rFonts w:ascii="Times New Roman" w:hAnsi="Times New Roman"/>
          <w:color w:val="000000"/>
          <w:sz w:val="20"/>
        </w:rPr>
        <w:t>”</w:t>
      </w:r>
      <w:r>
        <w:rPr>
          <w:rFonts w:ascii="Times New Roman" w:hAnsi="Times New Roman"/>
          <w:color w:val="000000"/>
          <w:sz w:val="12"/>
        </w:rPr>
        <w:t xml:space="preserve">) and identified above, acknowledge receipt of a copy of the Depositary’s Notice of General Meeting and hereby authorize and direct the Depositary to cause to be voted at the Meeting (and any adjournment or postponement thereof) the Deposited Securities represented by your ADSs in the manner indicated on the reverse side hereof. All capitalized terms not defined herein shall have the meaning given to such term in the Deposit Agreement. </w:t>
      </w:r>
      <w:r>
        <w:rPr>
          <w:rFonts w:ascii="Times New Roman" w:hAnsi="Times New Roman"/>
          <w:b/>
          <w:color w:val="000000"/>
          <w:sz w:val="12"/>
        </w:rPr>
        <w:t xml:space="preserve">The information with respect to the Meeting and the ADS Voting Instructions contained herein and in any related materials may change after the date hereof as a result of a change in circumstances (e.g., an adjournment or cancellation of the Meeting, a change in location and/or manner of holding the Meeting). The Company intends to announce any changes and updates only on its website </w:t>
      </w:r>
      <w:r>
        <w:rPr>
          <w:rFonts w:ascii="Times New Roman" w:hAnsi="Times New Roman"/>
          <w:b/>
          <w:sz w:val="12"/>
        </w:rPr>
        <w:t>https://www.novabridge.com.</w:t>
      </w:r>
      <w:r>
        <w:rPr>
          <w:rFonts w:ascii="Times New Roman" w:hAnsi="Times New Roman"/>
          <w:color w:val="000000"/>
          <w:sz w:val="20"/>
        </w:rPr>
        <w:t xml:space="preserve"> </w:t>
      </w:r>
      <w:r>
        <w:rPr>
          <w:rFonts w:ascii="Times New Roman" w:hAnsi="Times New Roman"/>
          <w:b/>
          <w:color w:val="000000"/>
          <w:sz w:val="12"/>
        </w:rPr>
        <w:t>We encourage you to check the referenced Company website for any updates to the information with respect to the Meeting and the ADS Voting Instructions as it is not expected that any additional information will be distributed to you via mail or email.</w:t>
      </w:r>
    </w:p>
    <w:p>
      <w:pPr>
        <w:pStyle w:val="TextBody"/>
        <w:bidi w:val="0"/>
        <w:spacing w:before="240" w:after="283"/>
        <w:jc w:val="both"/>
        <w:rPr>
          <w:rFonts w:ascii="Times New Roman" w:hAnsi="Times New Roman"/>
          <w:b/>
          <w:i/>
          <w:color w:val="000000"/>
          <w:sz w:val="12"/>
        </w:rPr>
      </w:pPr>
      <w:r>
        <w:rPr>
          <w:rFonts w:ascii="Times New Roman" w:hAnsi="Times New Roman"/>
          <w:b/>
          <w:i/>
          <w:color w:val="000000"/>
          <w:sz w:val="12"/>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purposes, such Holder shall be deemed, and the Depositary shall (unless otherwise specified in the Notice of Meeting)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pStyle w:val="TextBody"/>
        <w:bidi w:val="0"/>
        <w:spacing w:before="240" w:after="283"/>
        <w:jc w:val="both"/>
        <w:rPr>
          <w:rFonts w:ascii="Times New Roman" w:hAnsi="Times New Roman"/>
          <w:b/>
          <w:i/>
          <w:color w:val="000000"/>
          <w:sz w:val="12"/>
        </w:rPr>
      </w:pPr>
      <w:r>
        <w:rPr>
          <w:rFonts w:ascii="Times New Roman" w:hAnsi="Times New Roman"/>
          <w:b/>
          <w:i/>
          <w:color w:val="000000"/>
          <w:sz w:val="12"/>
        </w:rPr>
        <w:t>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provided timely voting instructions, and (b) as otherwise contemplated in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of Meeting) to have instructed the Depositary to vote in favor of the items set forth in such voting instructions.</w:t>
      </w:r>
    </w:p>
    <w:p>
      <w:pPr>
        <w:pStyle w:val="TextBody"/>
        <w:bidi w:val="0"/>
        <w:spacing w:before="240" w:after="283"/>
        <w:jc w:val="left"/>
        <w:rPr>
          <w:rFonts w:ascii="Times New Roman" w:hAnsi="Times New Roman"/>
          <w:color w:val="000000"/>
          <w:sz w:val="12"/>
        </w:rPr>
      </w:pPr>
      <w:r>
        <w:rPr>
          <w:rFonts w:ascii="Times New Roman" w:hAnsi="Times New Roman"/>
          <w:color w:val="000000"/>
          <w:sz w:val="12"/>
        </w:rPr>
        <w:t>Please indicate on the reverse side hereof how the Deposited Securities are to be voted.</w:t>
      </w:r>
    </w:p>
    <w:p>
      <w:pPr>
        <w:pStyle w:val="TextBody"/>
        <w:bidi w:val="0"/>
        <w:spacing w:before="240" w:after="283"/>
        <w:jc w:val="left"/>
        <w:rPr>
          <w:rFonts w:ascii="Times New Roman" w:hAnsi="Times New Roman"/>
          <w:color w:val="000000"/>
          <w:sz w:val="12"/>
        </w:rPr>
      </w:pPr>
      <w:r>
        <w:rPr>
          <w:rFonts w:ascii="Times New Roman" w:hAnsi="Times New Roman"/>
          <w:color w:val="000000"/>
          <w:sz w:val="12"/>
        </w:rPr>
        <w:t>The Voting Instructions must be marked, signed and returned on time in order to be counted.</w:t>
      </w:r>
    </w:p>
    <w:p>
      <w:pPr>
        <w:pStyle w:val="TextBody"/>
        <w:bidi w:val="0"/>
        <w:spacing w:before="240" w:after="283"/>
        <w:jc w:val="left"/>
        <w:rPr>
          <w:rFonts w:ascii="Times New Roman" w:hAnsi="Times New Roman"/>
          <w:color w:val="000000"/>
          <w:sz w:val="12"/>
        </w:rPr>
      </w:pPr>
      <w:r>
        <w:rPr>
          <w:rFonts w:ascii="Times New Roman" w:hAnsi="Times New Roman"/>
          <w:color w:val="000000"/>
          <w:sz w:val="12"/>
        </w:rPr>
        <w:t>By signing on the reverse side hereof, the undersigned represents to the Depositary and the Company that the undersigned is duly authorized to give the voting instructions contained therein.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Agenda</w:t>
      </w:r>
    </w:p>
    <w:p>
      <w:pPr>
        <w:pStyle w:val="TextBody"/>
        <w:bidi w:val="0"/>
        <w:spacing w:before="220" w:after="283"/>
        <w:jc w:val="left"/>
        <w:rPr>
          <w:rFonts w:ascii="Times New Roman" w:hAnsi="Times New Roman"/>
          <w:b/>
          <w:color w:val="000000"/>
          <w:sz w:val="20"/>
        </w:rPr>
      </w:pPr>
      <w:r>
        <w:rPr>
          <w:rFonts w:ascii="Times New Roman" w:hAnsi="Times New Roman"/>
          <w:b/>
          <w:color w:val="000000"/>
          <w:sz w:val="20"/>
        </w:rPr>
        <w:t>Ordinary resolution</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THAT Ms. Xin Liu be removed from her position as a director of the Company with immediate effect upon passing of this resolution, and each director of the Company be and is hereby authorized to take any and every action that might be necessary in relation to the foregoing resolution as such director, in his or her absolute discretion, thinks fit.</w:t>
      </w:r>
    </w:p>
    <w:p>
      <w:pPr>
        <w:pStyle w:val="TextBody"/>
        <w:bidi w:val="0"/>
        <w:spacing w:before="600" w:after="283"/>
        <w:jc w:val="left"/>
        <w:rPr>
          <w:rFonts w:ascii="Times New Roman" w:hAnsi="Times New Roman"/>
          <w:b/>
          <w:color w:val="000000"/>
          <w:sz w:val="20"/>
        </w:rPr>
      </w:pPr>
      <w:r>
        <w:rPr>
          <w:rFonts w:ascii="Times New Roman" w:hAnsi="Times New Roman"/>
          <w:b/>
          <w:color w:val="000000"/>
          <w:sz w:val="20"/>
        </w:rPr>
        <w:t>The Depositary has been informed that the Company's Board of Directors recommend a "For" vote for the foregoing resolution.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3809" w:type="dxa"/>
        <w:jc w:val="left"/>
        <w:tblInd w:w="0" w:type="dxa"/>
        <w:tblLayout w:type="fixed"/>
        <w:tblCellMar>
          <w:top w:w="28" w:type="dxa"/>
          <w:left w:w="28" w:type="dxa"/>
          <w:bottom w:w="28" w:type="dxa"/>
          <w:right w:w="28" w:type="dxa"/>
        </w:tblCellMar>
      </w:tblPr>
      <w:tblGrid>
        <w:gridCol w:w="376"/>
        <w:gridCol w:w="146"/>
        <w:gridCol w:w="706"/>
        <w:gridCol w:w="2581"/>
      </w:tblGrid>
      <w:tr>
        <w:trPr/>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376" w:type="dxa"/>
            <w:tcBorders/>
            <w:shd w:fill="000000" w:val="clear"/>
            <w:tcMar>
              <w:top w:w="0" w:type="dxa"/>
              <w:left w:w="0" w:type="dxa"/>
              <w:bottom w:w="0" w:type="dxa"/>
              <w:right w:w="0" w:type="dxa"/>
            </w:tcMar>
            <w:vAlign w:val="center"/>
          </w:tcPr>
          <w:p>
            <w:pPr>
              <w:pStyle w:val="TableContents"/>
              <w:bidi w:val="0"/>
              <w:spacing w:before="0" w:after="283"/>
              <w:jc w:val="center"/>
              <w:rPr/>
            </w:pPr>
            <w:r>
              <w:rPr>
                <w:color w:val="FFFFFF"/>
              </w:rPr>
              <w:t> </w:t>
            </w:r>
            <w:r>
              <w:rPr>
                <w:rFonts w:ascii="Arial Narrow;sans-serif" w:hAnsi="Arial Narrow;sans-serif"/>
                <w:color w:val="FFFFFF"/>
                <w:sz w:val="24"/>
              </w:rPr>
              <w:t>A</w:t>
            </w:r>
            <w:r>
              <w:rPr>
                <w:rFonts w:ascii="Times New Roman" w:hAnsi="Times New Roman"/>
                <w:color w:val="FFFFFF"/>
                <w:sz w:val="24"/>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Issues</w:t>
            </w:r>
          </w:p>
        </w:tc>
        <w:tc>
          <w:tcPr>
            <w:tcW w:w="2581" w:type="dxa"/>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4"/>
              </w:rPr>
            </w:pPr>
            <w:r>
              <w:rPr>
                <w:rFonts w:ascii="Times New Roman" w:hAnsi="Times New Roman"/>
                <w:color w:val="000000"/>
                <w:sz w:val="24"/>
              </w:rPr>
              <w:t>NovaBridge Biosciences</w:t>
            </w:r>
          </w:p>
        </w:tc>
      </w:tr>
    </w:tbl>
    <w:p>
      <w:pPr>
        <w:pStyle w:val="TextBody"/>
        <w:bidi w:val="0"/>
        <w:jc w:val="left"/>
        <w:rPr/>
      </w:pPr>
      <w:r>
        <w:rPr/>
        <w:t> </w:t>
      </w:r>
    </w:p>
    <w:tbl>
      <w:tblPr>
        <w:tblW w:w="3394" w:type="dxa"/>
        <w:jc w:val="left"/>
        <w:tblInd w:w="0" w:type="dxa"/>
        <w:tblLayout w:type="fixed"/>
        <w:tblCellMar>
          <w:top w:w="28" w:type="dxa"/>
          <w:left w:w="28" w:type="dxa"/>
          <w:bottom w:w="28" w:type="dxa"/>
          <w:right w:w="28" w:type="dxa"/>
        </w:tblCellMar>
      </w:tblPr>
      <w:tblGrid>
        <w:gridCol w:w="1453"/>
        <w:gridCol w:w="146"/>
        <w:gridCol w:w="316"/>
        <w:gridCol w:w="146"/>
        <w:gridCol w:w="571"/>
        <w:gridCol w:w="146"/>
        <w:gridCol w:w="616"/>
      </w:tblGrid>
      <w:tr>
        <w:trPr/>
        <w:tc>
          <w:tcPr>
            <w:tcW w:w="1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ind w:left="0" w:right="0" w:firstLine="117"/>
              <w:jc w:val="left"/>
              <w:rPr>
                <w:sz w:val="4"/>
                <w:szCs w:val="4"/>
              </w:rPr>
            </w:pPr>
            <w:r>
              <w:rPr>
                <w:sz w:val="4"/>
                <w:szCs w:val="4"/>
              </w:rPr>
            </w:r>
          </w:p>
        </w:tc>
      </w:tr>
      <w:tr>
        <w:trPr/>
        <w:tc>
          <w:tcPr>
            <w:tcW w:w="1453" w:type="dxa"/>
            <w:tcBorders/>
            <w:tcMar>
              <w:top w:w="0" w:type="dxa"/>
              <w:left w:w="0" w:type="dxa"/>
              <w:bottom w:w="0" w:type="dxa"/>
              <w:right w:w="0" w:type="dxa"/>
            </w:tcMar>
            <w:vAlign w:val="center"/>
          </w:tcPr>
          <w:p>
            <w:pPr>
              <w:pStyle w:val="Heading2"/>
              <w:bidi w:val="0"/>
              <w:spacing w:before="200" w:after="120"/>
              <w:ind w:left="0" w:right="0" w:firstLine="117"/>
              <w:jc w:val="left"/>
              <w:rPr>
                <w:rFonts w:ascii="Times New Roman" w:hAnsi="Times New Roman"/>
                <w:color w:val="000000"/>
                <w:sz w:val="14"/>
                <w:u w:val="single"/>
              </w:rPr>
            </w:pPr>
            <w:r>
              <w:rPr>
                <w:rFonts w:ascii="Times New Roman" w:hAnsi="Times New Roman"/>
                <w:color w:val="000000"/>
                <w:sz w:val="14"/>
                <w:u w:val="single"/>
              </w:rPr>
              <w:t>Ordinary resolution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ind w:left="0" w:right="0" w:firstLine="117"/>
              <w:jc w:val="center"/>
              <w:rPr/>
            </w:pPr>
            <w:r>
              <w:rPr/>
              <w:t> </w:t>
            </w:r>
          </w:p>
        </w:tc>
      </w:tr>
      <w:tr>
        <w:trPr/>
        <w:tc>
          <w:tcPr>
            <w:tcW w:w="1453" w:type="dxa"/>
            <w:tcBorders/>
            <w:tcMar>
              <w:top w:w="0" w:type="dxa"/>
              <w:left w:w="0" w:type="dxa"/>
              <w:bottom w:w="0" w:type="dxa"/>
              <w:right w:w="0" w:type="dxa"/>
            </w:tcMar>
            <w:vAlign w:val="center"/>
          </w:tcPr>
          <w:p>
            <w:pPr>
              <w:pStyle w:val="Heading2"/>
              <w:bidi w:val="0"/>
              <w:spacing w:before="200" w:after="120"/>
              <w:ind w:left="0" w:right="0" w:firstLine="117"/>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Against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Abstain</w:t>
            </w:r>
          </w:p>
        </w:tc>
      </w:tr>
      <w:tr>
        <w:trPr/>
        <w:tc>
          <w:tcPr>
            <w:tcW w:w="145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Resolution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Heading2"/>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8"/>
        <w:gridCol w:w="251"/>
        <w:gridCol w:w="9586"/>
      </w:tblGrid>
      <w:tr>
        <w:trPr/>
        <w:tc>
          <w:tcPr>
            <w:tcW w:w="3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68" w:type="dxa"/>
            <w:tcBorders/>
            <w:shd w:fill="000000" w:val="clear"/>
            <w:tcMar>
              <w:top w:w="0" w:type="dxa"/>
              <w:left w:w="0" w:type="dxa"/>
              <w:bottom w:w="0" w:type="dxa"/>
              <w:right w:w="0" w:type="dxa"/>
            </w:tcMar>
            <w:vAlign w:val="center"/>
          </w:tcPr>
          <w:p>
            <w:pPr>
              <w:pStyle w:val="TableContents"/>
              <w:bidi w:val="0"/>
              <w:spacing w:before="0" w:after="283"/>
              <w:jc w:val="center"/>
              <w:rPr/>
            </w:pPr>
            <w:r>
              <w:rPr>
                <w:color w:val="FFFFFF"/>
              </w:rPr>
              <w:t> </w:t>
            </w:r>
            <w:r>
              <w:rPr>
                <w:rFonts w:ascii="Arial Narrow;sans-serif" w:hAnsi="Arial Narrow;sans-serif"/>
                <w:color w:val="FFFFFF"/>
                <w:sz w:val="24"/>
              </w:rPr>
              <w:t>B</w:t>
            </w:r>
            <w:r>
              <w:rPr>
                <w:rFonts w:ascii="Times New Roman" w:hAnsi="Times New Roman"/>
                <w:color w:val="FFFFFF"/>
                <w:sz w:val="24"/>
              </w:rPr>
              <w:t xml:space="preserve"> </w:t>
            </w:r>
          </w:p>
        </w:tc>
        <w:tc>
          <w:tcPr>
            <w:tcW w:w="251" w:type="dxa"/>
            <w:tcBorders/>
            <w:tcMar>
              <w:top w:w="0" w:type="dxa"/>
              <w:left w:w="0" w:type="dxa"/>
              <w:bottom w:w="0" w:type="dxa"/>
              <w:right w:w="0" w:type="dxa"/>
            </w:tcMar>
            <w:vAlign w:val="center"/>
          </w:tcPr>
          <w:p>
            <w:pPr>
              <w:pStyle w:val="Heading1"/>
              <w:bidi w:val="0"/>
              <w:spacing w:before="240" w:after="283"/>
              <w:jc w:val="left"/>
              <w:rPr/>
            </w:pPr>
            <w:r>
              <w:rPr/>
              <w:t> </w:t>
            </w:r>
          </w:p>
        </w:tc>
        <w:tc>
          <w:tcPr>
            <w:tcW w:w="9586" w:type="dxa"/>
            <w:tcBorders/>
            <w:tcMar>
              <w:top w:w="0" w:type="dxa"/>
              <w:left w:w="0" w:type="dxa"/>
              <w:bottom w:w="0" w:type="dxa"/>
              <w:right w:w="0" w:type="dxa"/>
            </w:tcMar>
            <w:vAlign w:val="center"/>
          </w:tcPr>
          <w:p>
            <w:pPr>
              <w:pStyle w:val="Heading1"/>
              <w:bidi w:val="0"/>
              <w:spacing w:before="240" w:after="283"/>
              <w:jc w:val="left"/>
              <w:rPr>
                <w:rFonts w:ascii="Times New Roman" w:hAnsi="Times New Roman"/>
                <w:color w:val="000000"/>
                <w:sz w:val="24"/>
              </w:rPr>
            </w:pPr>
            <w:r>
              <w:rPr>
                <w:rFonts w:ascii="Times New Roman" w:hAnsi="Times New Roman"/>
                <w:color w:val="000000"/>
                <w:sz w:val="24"/>
              </w:rPr>
              <w:t>Authorized Signatures - Sign Here - This section must be completed for your instructions to be executed.</w:t>
            </w:r>
          </w:p>
        </w:tc>
      </w:tr>
    </w:tbl>
    <w:p>
      <w:pPr>
        <w:pStyle w:val="TextBody"/>
        <w:bidi w:val="0"/>
        <w:spacing w:before="28" w:after="283"/>
        <w:jc w:val="left"/>
        <w:rPr>
          <w:rFonts w:ascii="Times New Roman" w:hAnsi="Times New Roman"/>
          <w:color w:val="000000"/>
          <w:sz w:val="14"/>
        </w:rPr>
      </w:pPr>
      <w:r>
        <w:rPr>
          <w:rFonts w:ascii="Times New Roman" w:hAnsi="Times New Roman"/>
          <w:color w:val="000000"/>
          <w:sz w:val="14"/>
        </w:rPr>
        <w:t>If these Voting Instructions are signed and timely returned to the Depositary but no specific direction as to voting is marked above as to an issue, the undersigned shall be deemed to have directed the Depositary to give voting instructions “FOR” the unmarked issue.</w:t>
      </w:r>
    </w:p>
    <w:p>
      <w:pPr>
        <w:pStyle w:val="TextBody"/>
        <w:bidi w:val="0"/>
        <w:spacing w:before="158" w:after="283"/>
        <w:jc w:val="left"/>
        <w:rPr>
          <w:rFonts w:ascii="Times New Roman" w:hAnsi="Times New Roman"/>
          <w:color w:val="000000"/>
          <w:sz w:val="14"/>
        </w:rPr>
      </w:pPr>
      <w:r>
        <w:rPr>
          <w:rFonts w:ascii="Times New Roman" w:hAnsi="Times New Roman"/>
          <w:color w:val="000000"/>
          <w:sz w:val="14"/>
        </w:rPr>
        <w:t>If these Voting Instructions are signed and timely returned to the Depositary but multiple specific directions as to voting are marked above as to an issue, the undersigned shall be deemed to have directed the Depositary to give an “ABSTAIN” Voting Instruction for such issue.</w:t>
      </w:r>
    </w:p>
    <w:p>
      <w:pPr>
        <w:pStyle w:val="TextBody"/>
        <w:bidi w:val="0"/>
        <w:spacing w:before="158" w:after="283"/>
        <w:jc w:val="left"/>
        <w:rPr>
          <w:rFonts w:ascii="Times New Roman" w:hAnsi="Times New Roman"/>
          <w:color w:val="000000"/>
          <w:sz w:val="14"/>
        </w:rPr>
      </w:pPr>
      <w:r>
        <w:rPr>
          <w:rFonts w:ascii="Times New Roman" w:hAnsi="Times New Roman"/>
          <w:color w:val="000000"/>
          <w:sz w:val="14"/>
        </w:rPr>
        <w:t>Please be sure to sign and date this Voting Instructions Card.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color w:val="000000"/>
          <w:sz w:val="14"/>
        </w:rPr>
      </w:pPr>
      <w:r>
        <w:rPr>
          <w:rFonts w:ascii="Times New Roman" w:hAnsi="Times New Roman"/>
          <w:color w:val="000000"/>
          <w:sz w:val="14"/>
        </w:rPr>
        <w:t>Please sign your name to the Voting Instructions exactly as printed. When signing in a fiduciary or representative capacity, give full title as such. Where more than one owner, each MUST sign. Voting Instructions executed by a corporation should be in full name by a duly authorized officer with full title as such.</w:t>
      </w:r>
    </w:p>
    <w:p>
      <w:pPr>
        <w:pStyle w:val="TextBody"/>
        <w:bidi w:val="0"/>
        <w:jc w:val="left"/>
        <w:rPr/>
      </w:pPr>
      <w:r>
        <w:rPr/>
        <w:t> </w:t>
      </w:r>
    </w:p>
    <w:tbl>
      <w:tblPr>
        <w:tblW w:w="8947" w:type="dxa"/>
        <w:jc w:val="left"/>
        <w:tblInd w:w="0" w:type="dxa"/>
        <w:tblLayout w:type="fixed"/>
        <w:tblCellMar>
          <w:top w:w="28" w:type="dxa"/>
          <w:left w:w="28" w:type="dxa"/>
          <w:bottom w:w="28" w:type="dxa"/>
          <w:right w:w="28" w:type="dxa"/>
        </w:tblCellMar>
      </w:tblPr>
      <w:tblGrid>
        <w:gridCol w:w="3571"/>
        <w:gridCol w:w="146"/>
        <w:gridCol w:w="3556"/>
        <w:gridCol w:w="146"/>
        <w:gridCol w:w="202"/>
        <w:gridCol w:w="430"/>
        <w:gridCol w:w="202"/>
        <w:gridCol w:w="430"/>
        <w:gridCol w:w="264"/>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1 - Please keep signature within the line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Signature 2 - Please keep signature within the line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28"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(mm/dd/yyyy)</w:t>
            </w:r>
          </w:p>
        </w:tc>
      </w:tr>
      <w:tr>
        <w:trPr/>
        <w:tc>
          <w:tcPr>
            <w:tcW w:w="3571"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56"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drawing>
                <wp:inline distT="0" distB="0" distL="0" distR="0">
                  <wp:extent cx="142875" cy="19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 cy="190500"/>
                          </a:xfrm>
                          <a:prstGeom prst="rect">
                            <a:avLst/>
                          </a:prstGeom>
                        </pic:spPr>
                      </pic:pic>
                    </a:graphicData>
                  </a:graphic>
                </wp:inline>
              </w:drawing>
            </w:r>
          </w:p>
        </w:tc>
        <w:tc>
          <w:tcPr>
            <w:tcW w:w="202"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drawing>
                <wp:inline distT="0" distB="0" distL="0" distR="0">
                  <wp:extent cx="142875" cy="190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 cy="190500"/>
                          </a:xfrm>
                          <a:prstGeom prst="rect">
                            <a:avLst/>
                          </a:prstGeom>
                        </pic:spPr>
                      </pic:pic>
                    </a:graphicData>
                  </a:graphic>
                </wp:inline>
              </w:drawing>
            </w:r>
          </w:p>
        </w:tc>
        <w:tc>
          <w:tcPr>
            <w:tcW w:w="264" w:type="dxa"/>
            <w:tcBorders/>
            <w:tcMar>
              <w:top w:w="0" w:type="dxa"/>
              <w:left w:w="0" w:type="dxa"/>
              <w:bottom w:w="0" w:type="dxa"/>
              <w:right w:w="0" w:type="dxa"/>
            </w:tcMar>
            <w:vAlign w:val="center"/>
          </w:tcPr>
          <w:p>
            <w:pPr>
              <w:pStyle w:val="TableContents"/>
              <w:pBdr>
                <w:bottom w:val="single" w:sz="12" w:space="1" w:color="000000"/>
              </w:pBdr>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2.gif"/><Relationship Id="rId5" Type="http://schemas.openxmlformats.org/officeDocument/2006/relationships/image" Target="media/image2.gif"/><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4517</Words>
  <Characters>24335</Characters>
  <CharactersWithSpaces>28929</CharactersWithSpaces>
  <Paragraphs>393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