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212026_040901.xml.htm"/>
      <w:bookmarkStart w:id="1" w:name="ksform409212026_0409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Dennis Phillip Andrew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NOVABRIDGE BIOSCIENCES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2440 RESEARCH BOULEVARD, SUITE 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ROCKVILLE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NovaBridge Biosciences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NBP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Medical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8"/>
        <w:gridCol w:w="901"/>
        <w:gridCol w:w="771"/>
        <w:gridCol w:w="598"/>
        <w:gridCol w:w="347"/>
        <w:gridCol w:w="970"/>
        <w:gridCol w:w="453"/>
        <w:gridCol w:w="710"/>
        <w:gridCol w:w="1191"/>
        <w:gridCol w:w="995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23,695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181,636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9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8,209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0.71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1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173,427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9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28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71"/>
        <w:gridCol w:w="906"/>
        <w:gridCol w:w="801"/>
        <w:gridCol w:w="861"/>
        <w:gridCol w:w="86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8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72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10,302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Ordinary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10,302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72,120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Ordinary Shares may be represented by American Depositary Shares ("ADS"). Each 10 ADSs represent 23 Ordinary Shares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Reported securities are represented by 10,302 ADSs.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restricted stock unit ("RSU") represents a contingent right to receive one ADS.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Reported securities are represented by 78,972 ADSs.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Reported securities are represented by 3,569 ADSs.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Reported sales price represents the converted sales price of the ADSs of $1.6247.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Reported securities are represented by 75,403 ADSs.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Reported securities represent ADSs.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On June 17, 2024, the Reporting Person was granted 164,840 RSUs. The RSUs vested or shall vest over four years, with one-fourth vesting on the first anniversary of the grant date and the balance vesting ratably over the subsequent 12 quarters on the 17th day of each third month.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Kyler Lei,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89237" TargetMode="External"/><Relationship Id="rId5" Type="http://schemas.openxmlformats.org/officeDocument/2006/relationships/hyperlink" Target="http://www.sec.gov/cgi-bin/browse-edgar?action=getcompany&amp;CIK=000177801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727</Words>
  <Characters>3977</Characters>
  <CharactersWithSpaces>4608</CharactersWithSpaces>
  <Paragraphs>124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